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楷体" w:hAnsi="楷体" w:eastAsia="楷体"/>
          <w:sz w:val="28"/>
          <w:szCs w:val="28"/>
        </w:rPr>
      </w:pPr>
      <w:r>
        <w:rPr>
          <w:rFonts w:hint="eastAsia" w:ascii="楷体" w:hAnsi="楷体" w:eastAsia="楷体"/>
          <w:b/>
          <w:sz w:val="28"/>
          <w:szCs w:val="28"/>
        </w:rPr>
        <w:t>合同编号</w:t>
      </w:r>
      <w:r>
        <w:rPr>
          <w:rFonts w:hint="eastAsia" w:ascii="楷体" w:hAnsi="楷体" w:eastAsia="楷体"/>
          <w:sz w:val="28"/>
          <w:szCs w:val="28"/>
        </w:rPr>
        <w:t>：【</w:t>
      </w:r>
      <w:bookmarkStart w:id="0" w:name="_Hlk103700943"/>
      <w:r>
        <w:rPr>
          <w:rFonts w:ascii="楷体" w:hAnsi="楷体" w:eastAsia="楷体"/>
          <w:sz w:val="28"/>
          <w:szCs w:val="28"/>
        </w:rPr>
        <w:t>JHXT20210220046-RZ-</w:t>
      </w:r>
      <w:r>
        <w:rPr>
          <w:rFonts w:hint="eastAsia" w:ascii="楷体" w:hAnsi="楷体" w:eastAsia="楷体"/>
          <w:sz w:val="28"/>
          <w:szCs w:val="28"/>
        </w:rPr>
        <w:t>QT</w:t>
      </w:r>
      <w:r>
        <w:rPr>
          <w:rFonts w:ascii="楷体" w:hAnsi="楷体" w:eastAsia="楷体"/>
          <w:sz w:val="28"/>
          <w:szCs w:val="28"/>
        </w:rPr>
        <w:t>O1</w:t>
      </w:r>
      <w:bookmarkEnd w:id="0"/>
      <w:r>
        <w:rPr>
          <w:rFonts w:hint="eastAsia" w:ascii="楷体" w:hAnsi="楷体" w:eastAsia="楷体"/>
          <w:sz w:val="28"/>
          <w:szCs w:val="28"/>
        </w:rPr>
        <w:t>】</w:t>
      </w:r>
    </w:p>
    <w:p>
      <w:pPr>
        <w:spacing w:before="156" w:beforeLines="50"/>
        <w:jc w:val="center"/>
        <w:rPr>
          <w:rFonts w:eastAsia="楷体_GB2312"/>
          <w:sz w:val="32"/>
        </w:rPr>
      </w:pPr>
    </w:p>
    <w:p>
      <w:pPr>
        <w:spacing w:before="156" w:beforeLines="50"/>
        <w:jc w:val="center"/>
        <w:rPr>
          <w:rFonts w:eastAsia="楷体_GB2312"/>
          <w:b/>
          <w:bCs/>
          <w:sz w:val="32"/>
        </w:rPr>
      </w:pPr>
    </w:p>
    <w:p>
      <w:pPr>
        <w:spacing w:before="156" w:beforeLines="50"/>
        <w:jc w:val="center"/>
        <w:rPr>
          <w:rFonts w:eastAsia="楷体_GB2312"/>
          <w:b/>
          <w:bCs/>
          <w:sz w:val="32"/>
        </w:rPr>
      </w:pPr>
    </w:p>
    <w:p>
      <w:pPr>
        <w:spacing w:before="156" w:beforeLines="50"/>
        <w:jc w:val="center"/>
        <w:rPr>
          <w:rFonts w:eastAsia="楷体_GB2312"/>
          <w:b/>
          <w:bCs/>
          <w:sz w:val="32"/>
        </w:rPr>
      </w:pPr>
    </w:p>
    <w:p>
      <w:pPr>
        <w:spacing w:before="156" w:beforeLines="50"/>
        <w:jc w:val="center"/>
        <w:rPr>
          <w:rFonts w:eastAsia="楷体_GB2312"/>
          <w:b/>
          <w:bCs/>
          <w:sz w:val="32"/>
        </w:rPr>
      </w:pPr>
    </w:p>
    <w:p>
      <w:pPr>
        <w:spacing w:before="156" w:beforeLines="50"/>
        <w:jc w:val="center"/>
        <w:rPr>
          <w:rFonts w:ascii="Times New Roman" w:hAnsi="Times New Roman" w:eastAsia="楷体_GB2312"/>
          <w:b/>
          <w:bCs/>
          <w:sz w:val="72"/>
          <w:szCs w:val="72"/>
        </w:rPr>
      </w:pPr>
      <w:r>
        <w:rPr>
          <w:rFonts w:hint="eastAsia" w:ascii="Times New Roman" w:hAnsi="Times New Roman" w:eastAsia="楷体_GB2312"/>
          <w:b/>
          <w:bCs/>
          <w:sz w:val="72"/>
          <w:szCs w:val="72"/>
        </w:rPr>
        <w:t>项目监管协议</w:t>
      </w:r>
    </w:p>
    <w:p>
      <w:pPr>
        <w:spacing w:before="156" w:beforeLines="50"/>
        <w:jc w:val="center"/>
        <w:rPr>
          <w:rFonts w:ascii="Times New Roman" w:hAnsi="Times New Roman" w:eastAsia="楷体_GB2312"/>
          <w:b/>
          <w:bCs/>
          <w:sz w:val="48"/>
          <w:szCs w:val="72"/>
        </w:rPr>
      </w:pPr>
    </w:p>
    <w:p>
      <w:pPr>
        <w:spacing w:before="156" w:beforeLines="50"/>
        <w:ind w:firstLine="6660" w:firstLineChars="1850"/>
        <w:rPr>
          <w:rFonts w:ascii="仿宋_GB2312" w:hAnsi="仿宋" w:eastAsia="仿宋_GB2312"/>
          <w:sz w:val="36"/>
          <w:szCs w:val="36"/>
        </w:rPr>
      </w:pPr>
    </w:p>
    <w:p>
      <w:pPr>
        <w:spacing w:before="156" w:beforeLines="50"/>
        <w:jc w:val="center"/>
        <w:rPr>
          <w:rFonts w:ascii="仿宋_GB2312" w:hAnsi="仿宋" w:eastAsia="仿宋_GB2312"/>
          <w:b/>
          <w:sz w:val="28"/>
          <w:szCs w:val="28"/>
        </w:rPr>
      </w:pPr>
      <w:r>
        <w:rPr>
          <w:rFonts w:hint="eastAsia" w:ascii="仿宋_GB2312" w:hAnsi="仿宋" w:eastAsia="仿宋_GB2312"/>
          <w:sz w:val="28"/>
          <w:szCs w:val="28"/>
        </w:rPr>
        <w:t xml:space="preserve">                   </w:t>
      </w:r>
    </w:p>
    <w:p>
      <w:pPr>
        <w:spacing w:before="156" w:beforeLines="50"/>
        <w:rPr>
          <w:rFonts w:ascii="仿宋_GB2312" w:hAnsi="仿宋" w:eastAsia="仿宋_GB2312"/>
          <w:sz w:val="36"/>
          <w:szCs w:val="36"/>
        </w:rPr>
      </w:pPr>
    </w:p>
    <w:p>
      <w:pPr>
        <w:spacing w:before="156" w:beforeLines="50"/>
        <w:rPr>
          <w:rFonts w:ascii="仿宋_GB2312" w:hAnsi="仿宋" w:eastAsia="仿宋_GB2312"/>
          <w:sz w:val="36"/>
          <w:szCs w:val="36"/>
        </w:rPr>
      </w:pPr>
    </w:p>
    <w:p>
      <w:pPr>
        <w:spacing w:before="156" w:beforeLines="50"/>
        <w:rPr>
          <w:rFonts w:ascii="仿宋_GB2312" w:hAnsi="仿宋" w:eastAsia="仿宋_GB2312"/>
          <w:sz w:val="36"/>
          <w:szCs w:val="36"/>
        </w:rPr>
      </w:pPr>
    </w:p>
    <w:p>
      <w:pPr>
        <w:spacing w:before="156" w:beforeLines="50"/>
        <w:rPr>
          <w:rFonts w:ascii="仿宋_GB2312" w:hAnsi="仿宋" w:eastAsia="仿宋_GB2312"/>
          <w:sz w:val="36"/>
          <w:szCs w:val="36"/>
        </w:rPr>
      </w:pPr>
    </w:p>
    <w:p>
      <w:pPr>
        <w:spacing w:before="156" w:beforeLines="50"/>
        <w:rPr>
          <w:rFonts w:ascii="仿宋_GB2312" w:hAnsi="仿宋" w:eastAsia="仿宋_GB2312"/>
          <w:sz w:val="36"/>
          <w:szCs w:val="36"/>
        </w:rPr>
      </w:pPr>
    </w:p>
    <w:p>
      <w:pPr>
        <w:spacing w:before="156" w:beforeLines="50"/>
        <w:rPr>
          <w:rFonts w:ascii="仿宋_GB2312" w:hAnsi="仿宋" w:eastAsia="仿宋_GB2312"/>
          <w:sz w:val="36"/>
          <w:szCs w:val="36"/>
        </w:rPr>
      </w:pPr>
    </w:p>
    <w:p>
      <w:pPr>
        <w:widowControl/>
        <w:spacing w:before="156" w:beforeLines="50"/>
        <w:jc w:val="left"/>
        <w:rPr>
          <w:rFonts w:ascii="Times New Roman" w:hAnsi="Times New Roman" w:eastAsia="楷体_GB2312" w:cs="楷体_GB2312"/>
          <w:b/>
          <w:sz w:val="32"/>
          <w:szCs w:val="32"/>
        </w:rPr>
      </w:pPr>
    </w:p>
    <w:p>
      <w:pPr>
        <w:spacing w:before="156" w:beforeLines="50" w:after="100" w:afterAutospacing="1"/>
        <w:jc w:val="center"/>
        <w:rPr>
          <w:rFonts w:ascii="Times New Roman" w:hAnsi="Times New Roman" w:eastAsia="楷体_GB2312" w:cs="楷体_GB2312"/>
          <w:sz w:val="24"/>
        </w:rPr>
      </w:pPr>
      <w:r>
        <w:rPr>
          <w:rFonts w:hint="eastAsia" w:ascii="Times New Roman" w:hAnsi="Times New Roman" w:eastAsia="楷体_GB2312" w:cs="楷体_GB2312"/>
          <w:b/>
          <w:sz w:val="32"/>
          <w:szCs w:val="32"/>
        </w:rPr>
        <w:t>目  录</w:t>
      </w:r>
    </w:p>
    <w:p>
      <w:pPr>
        <w:pStyle w:val="7"/>
        <w:tabs>
          <w:tab w:val="right" w:leader="dot" w:pos="8296"/>
        </w:tabs>
        <w:rPr>
          <w:rFonts w:asciiTheme="minorHAnsi" w:hAnsiTheme="minorHAnsi" w:eastAsiaTheme="minorEastAsia" w:cstheme="minorBidi"/>
        </w:rPr>
      </w:pPr>
      <w:r>
        <w:rPr>
          <w:rFonts w:hint="eastAsia" w:ascii="Times New Roman" w:hAnsi="Times New Roman" w:eastAsia="楷体_GB2312" w:cs="楷体_GB2312"/>
          <w:b/>
          <w:sz w:val="24"/>
          <w:szCs w:val="24"/>
        </w:rPr>
        <w:fldChar w:fldCharType="begin"/>
      </w:r>
      <w:r>
        <w:rPr>
          <w:rFonts w:hint="eastAsia" w:ascii="Times New Roman" w:hAnsi="Times New Roman" w:eastAsia="楷体_GB2312" w:cs="楷体_GB2312"/>
          <w:b/>
          <w:sz w:val="24"/>
          <w:szCs w:val="24"/>
        </w:rPr>
        <w:instrText xml:space="preserve"> TOC \o "1-3" \h \z \u </w:instrText>
      </w:r>
      <w:r>
        <w:rPr>
          <w:rFonts w:hint="eastAsia" w:ascii="Times New Roman" w:hAnsi="Times New Roman" w:eastAsia="楷体_GB2312" w:cs="楷体_GB2312"/>
          <w:b/>
          <w:sz w:val="24"/>
          <w:szCs w:val="24"/>
        </w:rPr>
        <w:fldChar w:fldCharType="separate"/>
      </w:r>
      <w:r>
        <w:fldChar w:fldCharType="begin"/>
      </w:r>
      <w:r>
        <w:instrText xml:space="preserve"> HYPERLINK \l "_Toc73798370" </w:instrText>
      </w:r>
      <w:r>
        <w:fldChar w:fldCharType="separate"/>
      </w:r>
      <w:r>
        <w:rPr>
          <w:rStyle w:val="11"/>
          <w:rFonts w:ascii="楷体" w:hAnsi="楷体" w:eastAsia="楷体" w:cs="楷体"/>
        </w:rPr>
        <w:t>第1条 定义和解释</w:t>
      </w:r>
      <w:r>
        <w:tab/>
      </w:r>
      <w:r>
        <w:fldChar w:fldCharType="begin"/>
      </w:r>
      <w:r>
        <w:instrText xml:space="preserve"> PAGEREF _Toc73798370 \h </w:instrText>
      </w:r>
      <w:r>
        <w:fldChar w:fldCharType="separate"/>
      </w:r>
      <w:r>
        <w:t>4</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"_Toc73798371" </w:instrText>
      </w:r>
      <w:r>
        <w:fldChar w:fldCharType="separate"/>
      </w:r>
      <w:r>
        <w:rPr>
          <w:rStyle w:val="11"/>
          <w:rFonts w:ascii="楷体" w:hAnsi="楷体" w:eastAsia="楷体" w:cs="楷体"/>
        </w:rPr>
        <w:t>第2条 标的项目概况</w:t>
      </w:r>
      <w:r>
        <w:tab/>
      </w:r>
      <w:r>
        <w:fldChar w:fldCharType="begin"/>
      </w:r>
      <w:r>
        <w:instrText xml:space="preserve"> PAGEREF _Toc73798371 \h </w:instrText>
      </w:r>
      <w:r>
        <w:fldChar w:fldCharType="separate"/>
      </w:r>
      <w:r>
        <w:t>5</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"_Toc73798372" </w:instrText>
      </w:r>
      <w:r>
        <w:fldChar w:fldCharType="separate"/>
      </w:r>
      <w:r>
        <w:rPr>
          <w:rStyle w:val="11"/>
          <w:rFonts w:ascii="楷体" w:hAnsi="楷体" w:eastAsia="楷体" w:cs="楷体"/>
        </w:rPr>
        <w:t>第3条 监管方式及监管期限</w:t>
      </w:r>
      <w:r>
        <w:tab/>
      </w:r>
      <w:r>
        <w:fldChar w:fldCharType="begin"/>
      </w:r>
      <w:r>
        <w:instrText xml:space="preserve"> PAGEREF _Toc73798372 \h </w:instrText>
      </w:r>
      <w:r>
        <w:fldChar w:fldCharType="separate"/>
      </w:r>
      <w:r>
        <w:t>5</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"_Toc73798373" </w:instrText>
      </w:r>
      <w:r>
        <w:fldChar w:fldCharType="separate"/>
      </w:r>
      <w:r>
        <w:rPr>
          <w:rStyle w:val="11"/>
          <w:rFonts w:ascii="楷体" w:hAnsi="楷体" w:eastAsia="楷体" w:cs="楷体"/>
        </w:rPr>
        <w:t>第4条 监管内容</w:t>
      </w:r>
      <w:r>
        <w:tab/>
      </w:r>
      <w:r>
        <w:fldChar w:fldCharType="begin"/>
      </w:r>
      <w:r>
        <w:instrText xml:space="preserve"> PAGEREF _Toc73798373 \h </w:instrText>
      </w:r>
      <w:r>
        <w:fldChar w:fldCharType="separate"/>
      </w:r>
      <w:r>
        <w:t>6</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"_Toc73798374" </w:instrText>
      </w:r>
      <w:r>
        <w:fldChar w:fldCharType="separate"/>
      </w:r>
      <w:r>
        <w:rPr>
          <w:rStyle w:val="11"/>
          <w:rFonts w:ascii="楷体" w:hAnsi="楷体" w:eastAsia="楷体" w:cs="楷体"/>
        </w:rPr>
        <w:t>第5条 当事人权利义务</w:t>
      </w:r>
      <w:r>
        <w:tab/>
      </w:r>
      <w:r>
        <w:fldChar w:fldCharType="begin"/>
      </w:r>
      <w:r>
        <w:instrText xml:space="preserve"> PAGEREF _Toc73798374 \h </w:instrText>
      </w:r>
      <w:r>
        <w:fldChar w:fldCharType="separate"/>
      </w:r>
      <w:r>
        <w:t>10</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"_Toc73798375" </w:instrText>
      </w:r>
      <w:r>
        <w:fldChar w:fldCharType="separate"/>
      </w:r>
      <w:r>
        <w:rPr>
          <w:rStyle w:val="11"/>
          <w:rFonts w:ascii="楷体" w:hAnsi="楷体" w:eastAsia="楷体" w:cs="楷体"/>
        </w:rPr>
        <w:t>第6条 服务费及支付方式</w:t>
      </w:r>
      <w:r>
        <w:tab/>
      </w:r>
      <w:r>
        <w:fldChar w:fldCharType="begin"/>
      </w:r>
      <w:r>
        <w:instrText xml:space="preserve"> PAGEREF _Toc73798375 \h </w:instrText>
      </w:r>
      <w:r>
        <w:fldChar w:fldCharType="separate"/>
      </w:r>
      <w:r>
        <w:t>12</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"_Toc73798376" </w:instrText>
      </w:r>
      <w:r>
        <w:fldChar w:fldCharType="separate"/>
      </w:r>
      <w:r>
        <w:rPr>
          <w:rStyle w:val="11"/>
          <w:rFonts w:ascii="楷体" w:hAnsi="楷体" w:eastAsia="楷体" w:cs="楷体"/>
        </w:rPr>
        <w:t>第7条 陈述与保证</w:t>
      </w:r>
      <w:r>
        <w:tab/>
      </w:r>
      <w:r>
        <w:fldChar w:fldCharType="begin"/>
      </w:r>
      <w:r>
        <w:instrText xml:space="preserve"> PAGEREF _Toc73798376 \h </w:instrText>
      </w:r>
      <w:r>
        <w:fldChar w:fldCharType="separate"/>
      </w:r>
      <w:r>
        <w:t>12</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"_Toc73798377" </w:instrText>
      </w:r>
      <w:r>
        <w:fldChar w:fldCharType="separate"/>
      </w:r>
      <w:r>
        <w:rPr>
          <w:rStyle w:val="11"/>
          <w:rFonts w:ascii="楷体" w:hAnsi="楷体" w:eastAsia="楷体" w:cs="楷体"/>
        </w:rPr>
        <w:t>第8条 保密</w:t>
      </w:r>
      <w:r>
        <w:tab/>
      </w:r>
      <w:r>
        <w:fldChar w:fldCharType="begin"/>
      </w:r>
      <w:r>
        <w:instrText xml:space="preserve"> PAGEREF _Toc73798377 \h </w:instrText>
      </w:r>
      <w:r>
        <w:fldChar w:fldCharType="separate"/>
      </w:r>
      <w:r>
        <w:t>13</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"_Toc73798378" </w:instrText>
      </w:r>
      <w:r>
        <w:fldChar w:fldCharType="separate"/>
      </w:r>
      <w:r>
        <w:rPr>
          <w:rStyle w:val="11"/>
          <w:rFonts w:ascii="楷体" w:hAnsi="楷体" w:eastAsia="楷体" w:cs="楷体"/>
        </w:rPr>
        <w:t>第9条 违约责任</w:t>
      </w:r>
      <w:r>
        <w:tab/>
      </w:r>
      <w:r>
        <w:fldChar w:fldCharType="begin"/>
      </w:r>
      <w:r>
        <w:instrText xml:space="preserve"> PAGEREF _Toc73798378 \h </w:instrText>
      </w:r>
      <w:r>
        <w:fldChar w:fldCharType="separate"/>
      </w:r>
      <w:r>
        <w:t>14</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"_Toc73798379" </w:instrText>
      </w:r>
      <w:r>
        <w:fldChar w:fldCharType="separate"/>
      </w:r>
      <w:r>
        <w:rPr>
          <w:rStyle w:val="11"/>
          <w:rFonts w:ascii="楷体" w:hAnsi="楷体" w:eastAsia="楷体" w:cs="楷体"/>
        </w:rPr>
        <w:t>第10条 不可抗力</w:t>
      </w:r>
      <w:r>
        <w:tab/>
      </w:r>
      <w:r>
        <w:fldChar w:fldCharType="begin"/>
      </w:r>
      <w:r>
        <w:instrText xml:space="preserve"> PAGEREF _Toc73798379 \h </w:instrText>
      </w:r>
      <w:r>
        <w:fldChar w:fldCharType="separate"/>
      </w:r>
      <w:r>
        <w:t>14</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"_Toc73798380" </w:instrText>
      </w:r>
      <w:r>
        <w:fldChar w:fldCharType="separate"/>
      </w:r>
      <w:r>
        <w:rPr>
          <w:rStyle w:val="11"/>
          <w:rFonts w:ascii="楷体" w:hAnsi="楷体" w:eastAsia="楷体" w:cs="楷体"/>
        </w:rPr>
        <w:t>第11条 法律适用及争议解决</w:t>
      </w:r>
      <w:r>
        <w:tab/>
      </w:r>
      <w:r>
        <w:fldChar w:fldCharType="begin"/>
      </w:r>
      <w:r>
        <w:instrText xml:space="preserve"> PAGEREF _Toc73798380 \h </w:instrText>
      </w:r>
      <w:r>
        <w:fldChar w:fldCharType="separate"/>
      </w:r>
      <w:r>
        <w:t>14</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"_Toc73798381" </w:instrText>
      </w:r>
      <w:r>
        <w:fldChar w:fldCharType="separate"/>
      </w:r>
      <w:r>
        <w:rPr>
          <w:rStyle w:val="11"/>
          <w:rFonts w:ascii="楷体" w:hAnsi="楷体" w:eastAsia="楷体" w:cs="楷体"/>
        </w:rPr>
        <w:t>第12条 通知和送达</w:t>
      </w:r>
      <w:r>
        <w:tab/>
      </w:r>
      <w:r>
        <w:fldChar w:fldCharType="begin"/>
      </w:r>
      <w:r>
        <w:instrText xml:space="preserve"> PAGEREF _Toc73798381 \h </w:instrText>
      </w:r>
      <w:r>
        <w:fldChar w:fldCharType="separate"/>
      </w:r>
      <w:r>
        <w:t>14</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"_Toc73798382" </w:instrText>
      </w:r>
      <w:r>
        <w:fldChar w:fldCharType="separate"/>
      </w:r>
      <w:r>
        <w:rPr>
          <w:rStyle w:val="11"/>
          <w:rFonts w:ascii="楷体" w:hAnsi="楷体" w:eastAsia="楷体" w:cs="楷体"/>
        </w:rPr>
        <w:t>第13条 其他</w:t>
      </w:r>
      <w:r>
        <w:tab/>
      </w:r>
      <w:r>
        <w:fldChar w:fldCharType="begin"/>
      </w:r>
      <w:r>
        <w:instrText xml:space="preserve"> PAGEREF _Toc73798382 \h </w:instrText>
      </w:r>
      <w:r>
        <w:fldChar w:fldCharType="separate"/>
      </w:r>
      <w:r>
        <w:t>15</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"_Toc73798383" </w:instrText>
      </w:r>
      <w:r>
        <w:fldChar w:fldCharType="separate"/>
      </w:r>
      <w:r>
        <w:rPr>
          <w:rStyle w:val="11"/>
          <w:rFonts w:ascii="楷体" w:hAnsi="楷体" w:eastAsia="楷体" w:cs="楷体"/>
          <w:b/>
        </w:rPr>
        <w:t>附件一：《审批细则》</w:t>
      </w:r>
      <w:r>
        <w:tab/>
      </w:r>
      <w:r>
        <w:fldChar w:fldCharType="begin"/>
      </w:r>
      <w:r>
        <w:instrText xml:space="preserve"> PAGEREF _Toc73798383 \h </w:instrText>
      </w:r>
      <w:r>
        <w:fldChar w:fldCharType="separate"/>
      </w:r>
      <w:r>
        <w:t>17</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"_Toc73798384" </w:instrText>
      </w:r>
      <w:r>
        <w:fldChar w:fldCharType="separate"/>
      </w:r>
      <w:r>
        <w:rPr>
          <w:rStyle w:val="11"/>
          <w:rFonts w:ascii="楷体" w:hAnsi="楷体" w:eastAsia="楷体" w:cs="楷体"/>
          <w:b/>
        </w:rPr>
        <w:t>附件二：《周报目录》</w:t>
      </w:r>
      <w:r>
        <w:tab/>
      </w:r>
      <w:r>
        <w:fldChar w:fldCharType="begin"/>
      </w:r>
      <w:r>
        <w:instrText xml:space="preserve"> PAGEREF _Toc73798384 \h </w:instrText>
      </w:r>
      <w:r>
        <w:fldChar w:fldCharType="separate"/>
      </w:r>
      <w:r>
        <w:t>20</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"_Toc73798385" </w:instrText>
      </w:r>
      <w:r>
        <w:fldChar w:fldCharType="separate"/>
      </w:r>
      <w:r>
        <w:rPr>
          <w:rStyle w:val="11"/>
          <w:rFonts w:ascii="楷体" w:hAnsi="楷体" w:eastAsia="楷体" w:cs="楷体"/>
          <w:b/>
        </w:rPr>
        <w:t>附件三：《月报目录》</w:t>
      </w:r>
      <w:r>
        <w:tab/>
      </w:r>
      <w:r>
        <w:fldChar w:fldCharType="begin"/>
      </w:r>
      <w:r>
        <w:instrText xml:space="preserve"> PAGEREF _Toc73798385 \h </w:instrText>
      </w:r>
      <w:r>
        <w:fldChar w:fldCharType="separate"/>
      </w:r>
      <w:r>
        <w:t>21</w:t>
      </w:r>
      <w:r>
        <w:fldChar w:fldCharType="end"/>
      </w:r>
      <w:r>
        <w:fldChar w:fldCharType="end"/>
      </w:r>
    </w:p>
    <w:p>
      <w:pPr>
        <w:pStyle w:val="7"/>
        <w:tabs>
          <w:tab w:val="right" w:leader="dot" w:pos="8296"/>
        </w:tabs>
        <w:rPr>
          <w:rFonts w:asciiTheme="minorHAnsi" w:hAnsiTheme="minorHAnsi" w:eastAsiaTheme="minorEastAsia" w:cstheme="minorBidi"/>
        </w:rPr>
      </w:pPr>
      <w:r>
        <w:fldChar w:fldCharType="begin"/>
      </w:r>
      <w:r>
        <w:instrText xml:space="preserve"> HYPERLINK \l "_Toc73798386" </w:instrText>
      </w:r>
      <w:r>
        <w:fldChar w:fldCharType="separate"/>
      </w:r>
      <w:r>
        <w:rPr>
          <w:rStyle w:val="11"/>
          <w:rFonts w:ascii="楷体" w:hAnsi="楷体" w:eastAsia="楷体" w:cs="楷体"/>
          <w:b/>
        </w:rPr>
        <w:t>附件四：《授权通知书》</w:t>
      </w:r>
      <w:r>
        <w:tab/>
      </w:r>
      <w:r>
        <w:fldChar w:fldCharType="begin"/>
      </w:r>
      <w:r>
        <w:instrText xml:space="preserve"> PAGEREF _Toc73798386 \h </w:instrText>
      </w:r>
      <w:r>
        <w:fldChar w:fldCharType="separate"/>
      </w:r>
      <w:r>
        <w:t>22</w:t>
      </w:r>
      <w:r>
        <w:fldChar w:fldCharType="end"/>
      </w:r>
      <w:r>
        <w:fldChar w:fldCharType="end"/>
      </w:r>
    </w:p>
    <w:p>
      <w:pPr>
        <w:tabs>
          <w:tab w:val="left" w:pos="5430"/>
        </w:tabs>
        <w:spacing w:before="156" w:beforeLines="50" w:after="100" w:afterAutospacing="1" w:line="360" w:lineRule="auto"/>
        <w:jc w:val="left"/>
        <w:rPr>
          <w:rFonts w:ascii="Times New Roman" w:hAnsi="Times New Roman" w:eastAsia="楷体_GB2312"/>
          <w:sz w:val="24"/>
        </w:rPr>
      </w:pPr>
      <w:r>
        <w:rPr>
          <w:rFonts w:hint="eastAsia" w:ascii="Times New Roman" w:hAnsi="Times New Roman" w:eastAsia="楷体_GB2312" w:cs="楷体_GB2312"/>
          <w:lang w:val="zh-CN"/>
        </w:rPr>
        <w:fldChar w:fldCharType="end"/>
      </w:r>
      <w:r>
        <w:rPr>
          <w:rFonts w:ascii="Times New Roman" w:hAnsi="Times New Roman" w:eastAsia="楷体_GB2312" w:cs="楷体_GB2312"/>
          <w:b/>
          <w:sz w:val="24"/>
          <w:lang w:val="zh-CN"/>
        </w:rPr>
        <w:tab/>
      </w:r>
    </w:p>
    <w:p>
      <w:pPr>
        <w:spacing w:before="156" w:beforeLines="50" w:after="156" w:afterLines="50"/>
        <w:ind w:firstLine="560"/>
        <w:rPr>
          <w:rFonts w:ascii="Times New Roman" w:hAnsi="Times New Roman" w:eastAsia="楷体_GB2312"/>
          <w:sz w:val="24"/>
          <w:szCs w:val="28"/>
        </w:rPr>
      </w:pPr>
    </w:p>
    <w:p>
      <w:pPr>
        <w:spacing w:before="156" w:beforeLines="50" w:after="156" w:afterLines="50"/>
        <w:ind w:firstLine="480" w:firstLineChars="200"/>
        <w:jc w:val="center"/>
        <w:rPr>
          <w:rFonts w:ascii="Times New Roman" w:hAnsi="Times New Roman" w:eastAsia="楷体_GB2312"/>
          <w:sz w:val="24"/>
        </w:rPr>
      </w:pPr>
    </w:p>
    <w:p>
      <w:pPr>
        <w:adjustRightInd w:val="0"/>
        <w:snapToGrid w:val="0"/>
        <w:spacing w:before="156" w:beforeLines="50"/>
        <w:ind w:firstLine="480" w:firstLineChars="200"/>
        <w:jc w:val="left"/>
        <w:rPr>
          <w:rFonts w:ascii="Times New Roman" w:hAnsi="Times New Roman" w:eastAsia="楷体_GB2312"/>
          <w:sz w:val="24"/>
        </w:rPr>
      </w:pPr>
      <w:r>
        <w:rPr>
          <w:rFonts w:ascii="Times New Roman" w:hAnsi="Times New Roman" w:eastAsia="楷体_GB2312"/>
          <w:sz w:val="24"/>
        </w:rPr>
        <w:br w:type="page"/>
      </w:r>
    </w:p>
    <w:p>
      <w:pPr>
        <w:adjustRightInd w:val="0"/>
        <w:snapToGrid w:val="0"/>
        <w:spacing w:before="156" w:beforeLines="50"/>
        <w:ind w:firstLine="480" w:firstLineChars="200"/>
        <w:jc w:val="left"/>
        <w:rPr>
          <w:rFonts w:ascii="Times New Roman" w:hAnsi="Times New Roman" w:eastAsia="楷体_GB2312"/>
          <w:sz w:val="24"/>
        </w:rPr>
      </w:pPr>
      <w:r>
        <w:rPr>
          <w:rFonts w:hint="eastAsia" w:ascii="Times New Roman" w:hAnsi="Times New Roman" w:eastAsia="楷体_GB2312"/>
          <w:sz w:val="24"/>
        </w:rPr>
        <w:t>本编号为【</w:t>
      </w:r>
      <w:r>
        <w:rPr>
          <w:rFonts w:ascii="楷体" w:hAnsi="楷体" w:eastAsia="楷体"/>
          <w:sz w:val="24"/>
        </w:rPr>
        <w:t>JHXT20210220046-RZ-</w:t>
      </w:r>
      <w:r>
        <w:rPr>
          <w:rFonts w:hint="eastAsia" w:ascii="楷体" w:hAnsi="楷体" w:eastAsia="楷体"/>
          <w:sz w:val="24"/>
        </w:rPr>
        <w:t>QT</w:t>
      </w:r>
      <w:r>
        <w:rPr>
          <w:rFonts w:ascii="楷体" w:hAnsi="楷体" w:eastAsia="楷体"/>
          <w:sz w:val="24"/>
        </w:rPr>
        <w:t>O1</w:t>
      </w:r>
      <w:r>
        <w:rPr>
          <w:rFonts w:hint="eastAsia" w:ascii="Times New Roman" w:hAnsi="Times New Roman" w:eastAsia="楷体_GB2312"/>
          <w:sz w:val="24"/>
        </w:rPr>
        <w:t>】的《项目监管协议》（以下简称“本协议”）由以下双方于【</w:t>
      </w:r>
      <w:r>
        <w:rPr>
          <w:rFonts w:ascii="Times New Roman" w:hAnsi="Times New Roman" w:eastAsia="楷体_GB2312"/>
          <w:sz w:val="24"/>
        </w:rPr>
        <w:t>202</w:t>
      </w:r>
      <w:r>
        <w:rPr>
          <w:rFonts w:hint="eastAsia" w:ascii="Times New Roman" w:hAnsi="Times New Roman" w:eastAsia="楷体_GB2312"/>
          <w:sz w:val="24"/>
        </w:rPr>
        <w:t>2】年【 】</w:t>
      </w:r>
      <w:r>
        <w:rPr>
          <w:rFonts w:ascii="Times New Roman" w:hAnsi="Times New Roman" w:eastAsia="楷体_GB2312"/>
          <w:sz w:val="24"/>
        </w:rPr>
        <w:t xml:space="preserve"> </w:t>
      </w:r>
      <w:r>
        <w:rPr>
          <w:rFonts w:hint="eastAsia" w:ascii="Times New Roman" w:hAnsi="Times New Roman" w:eastAsia="楷体_GB2312"/>
          <w:sz w:val="24"/>
        </w:rPr>
        <w:t xml:space="preserve">月【 </w:t>
      </w:r>
      <w:r>
        <w:rPr>
          <w:rFonts w:ascii="Times New Roman" w:hAnsi="Times New Roman" w:eastAsia="楷体_GB2312"/>
          <w:sz w:val="24"/>
        </w:rPr>
        <w:t xml:space="preserve"> </w:t>
      </w:r>
      <w:r>
        <w:rPr>
          <w:rFonts w:hint="eastAsia" w:ascii="Times New Roman" w:hAnsi="Times New Roman" w:eastAsia="楷体_GB2312"/>
          <w:sz w:val="24"/>
        </w:rPr>
        <w:t>】日在【天津市】共同签署：</w:t>
      </w:r>
    </w:p>
    <w:p>
      <w:pPr>
        <w:adjustRightInd w:val="0"/>
        <w:snapToGrid w:val="0"/>
        <w:spacing w:before="156" w:beforeLines="50"/>
        <w:ind w:firstLine="482" w:firstLineChars="200"/>
        <w:jc w:val="left"/>
        <w:rPr>
          <w:rFonts w:ascii="楷体" w:hAnsi="楷体" w:eastAsia="楷体" w:cs="楷体"/>
          <w:b/>
          <w:bCs/>
          <w:sz w:val="24"/>
        </w:rPr>
      </w:pPr>
      <w:r>
        <w:rPr>
          <w:rFonts w:hint="eastAsia" w:ascii="楷体" w:hAnsi="楷体" w:eastAsia="楷体" w:cs="楷体"/>
          <w:b/>
          <w:bCs/>
          <w:sz w:val="24"/>
        </w:rPr>
        <w:t>甲方：北方国际信托股份有限公司（以下简称“北方信托”）</w:t>
      </w:r>
    </w:p>
    <w:p>
      <w:pPr>
        <w:spacing w:before="156" w:beforeLines="50"/>
        <w:ind w:firstLine="480" w:firstLineChars="200"/>
        <w:rPr>
          <w:rFonts w:ascii="Times New Roman" w:hAnsi="Times New Roman" w:eastAsia="楷体_GB2312"/>
          <w:sz w:val="24"/>
        </w:rPr>
      </w:pPr>
      <w:r>
        <w:rPr>
          <w:rFonts w:hint="eastAsia" w:ascii="Times New Roman" w:hAnsi="Times New Roman" w:eastAsia="楷体_GB2312"/>
          <w:sz w:val="24"/>
        </w:rPr>
        <w:t>住所地：天津市河西区友谊路5号北方金融大厦</w:t>
      </w:r>
    </w:p>
    <w:p>
      <w:pPr>
        <w:spacing w:before="156" w:beforeLines="50"/>
        <w:ind w:firstLine="480" w:firstLineChars="200"/>
        <w:rPr>
          <w:rFonts w:ascii="Times New Roman" w:hAnsi="Times New Roman" w:eastAsia="楷体_GB2312"/>
          <w:sz w:val="24"/>
        </w:rPr>
      </w:pPr>
      <w:r>
        <w:rPr>
          <w:rFonts w:hint="eastAsia" w:ascii="Times New Roman" w:hAnsi="Times New Roman" w:eastAsia="楷体_GB2312"/>
          <w:sz w:val="24"/>
        </w:rPr>
        <w:t>法定代表人：韩立新</w:t>
      </w:r>
    </w:p>
    <w:p>
      <w:pPr>
        <w:spacing w:before="156" w:beforeLines="50"/>
        <w:ind w:firstLine="480" w:firstLineChars="200"/>
        <w:rPr>
          <w:rFonts w:ascii="Times New Roman" w:hAnsi="Times New Roman" w:eastAsia="楷体_GB2312"/>
          <w:sz w:val="24"/>
        </w:rPr>
      </w:pPr>
      <w:r>
        <w:rPr>
          <w:rFonts w:hint="eastAsia" w:ascii="Times New Roman" w:hAnsi="Times New Roman" w:eastAsia="楷体_GB2312"/>
          <w:sz w:val="24"/>
        </w:rPr>
        <w:t>联系人：崔瑛川</w:t>
      </w:r>
    </w:p>
    <w:p>
      <w:pPr>
        <w:spacing w:before="156" w:beforeLines="50"/>
        <w:ind w:firstLine="480" w:firstLineChars="200"/>
        <w:rPr>
          <w:rFonts w:ascii="Times New Roman" w:hAnsi="Times New Roman" w:eastAsia="楷体_GB2312"/>
          <w:sz w:val="24"/>
        </w:rPr>
      </w:pPr>
      <w:r>
        <w:rPr>
          <w:rFonts w:hint="eastAsia" w:ascii="Times New Roman" w:hAnsi="Times New Roman" w:eastAsia="楷体_GB2312"/>
          <w:sz w:val="24"/>
        </w:rPr>
        <w:t>电话：0</w:t>
      </w:r>
      <w:r>
        <w:rPr>
          <w:rFonts w:ascii="Times New Roman" w:hAnsi="Times New Roman" w:eastAsia="楷体_GB2312"/>
          <w:sz w:val="24"/>
        </w:rPr>
        <w:t>22</w:t>
      </w:r>
      <w:r>
        <w:rPr>
          <w:rFonts w:hint="eastAsia" w:ascii="Times New Roman" w:hAnsi="Times New Roman" w:eastAsia="楷体_GB2312"/>
          <w:sz w:val="24"/>
        </w:rPr>
        <w:t>-</w:t>
      </w:r>
      <w:r>
        <w:rPr>
          <w:rFonts w:ascii="Times New Roman" w:hAnsi="Times New Roman" w:eastAsia="楷体_GB2312"/>
          <w:sz w:val="24"/>
        </w:rPr>
        <w:t>28370688</w:t>
      </w:r>
    </w:p>
    <w:p>
      <w:pPr>
        <w:adjustRightInd w:val="0"/>
        <w:snapToGrid w:val="0"/>
        <w:spacing w:before="156" w:beforeLines="50"/>
        <w:ind w:firstLine="482" w:firstLineChars="200"/>
        <w:jc w:val="left"/>
        <w:rPr>
          <w:rFonts w:ascii="楷体" w:hAnsi="楷体" w:eastAsia="楷体" w:cs="楷体"/>
          <w:b/>
          <w:bCs/>
          <w:sz w:val="24"/>
        </w:rPr>
      </w:pPr>
    </w:p>
    <w:p>
      <w:pPr>
        <w:adjustRightInd w:val="0"/>
        <w:snapToGrid w:val="0"/>
        <w:spacing w:before="156" w:beforeLines="50"/>
        <w:ind w:firstLine="482" w:firstLineChars="200"/>
        <w:jc w:val="left"/>
        <w:rPr>
          <w:rFonts w:ascii="楷体" w:hAnsi="楷体" w:eastAsia="楷体" w:cs="楷体"/>
          <w:b/>
          <w:bCs/>
          <w:color w:val="000000"/>
          <w:sz w:val="24"/>
        </w:rPr>
      </w:pPr>
      <w:r>
        <w:rPr>
          <w:rFonts w:hint="eastAsia" w:ascii="楷体" w:hAnsi="楷体" w:eastAsia="楷体" w:cs="楷体"/>
          <w:b/>
          <w:bCs/>
          <w:sz w:val="24"/>
        </w:rPr>
        <w:t>乙方：北京康信君安资产管理有限公司</w:t>
      </w:r>
      <w:r>
        <w:rPr>
          <w:rFonts w:hint="eastAsia" w:ascii="楷体" w:hAnsi="楷体" w:eastAsia="楷体" w:cs="楷体"/>
          <w:b/>
          <w:bCs/>
          <w:color w:val="000000"/>
          <w:sz w:val="24"/>
        </w:rPr>
        <w:t>（以下简称“康信君安”）</w:t>
      </w:r>
    </w:p>
    <w:p>
      <w:pPr>
        <w:spacing w:before="156" w:beforeLines="50"/>
        <w:ind w:firstLine="480" w:firstLineChars="200"/>
        <w:rPr>
          <w:rFonts w:ascii="Times New Roman" w:hAnsi="Times New Roman" w:eastAsia="楷体_GB2312"/>
          <w:sz w:val="24"/>
        </w:rPr>
      </w:pPr>
      <w:r>
        <w:rPr>
          <w:rFonts w:hint="eastAsia" w:ascii="Times New Roman" w:hAnsi="Times New Roman" w:eastAsia="楷体_GB2312"/>
          <w:sz w:val="24"/>
        </w:rPr>
        <w:t>住所地： 北京市朝阳区裕民路12号中国国际科技会展中心B座10层1001室</w:t>
      </w:r>
    </w:p>
    <w:p>
      <w:pPr>
        <w:spacing w:before="156" w:beforeLines="50"/>
        <w:ind w:firstLine="480" w:firstLineChars="200"/>
        <w:rPr>
          <w:rFonts w:ascii="Times New Roman" w:hAnsi="Times New Roman" w:eastAsia="楷体_GB2312"/>
          <w:sz w:val="24"/>
        </w:rPr>
      </w:pPr>
      <w:r>
        <w:rPr>
          <w:rFonts w:hint="eastAsia" w:ascii="Times New Roman" w:hAnsi="Times New Roman" w:eastAsia="楷体_GB2312"/>
          <w:sz w:val="24"/>
        </w:rPr>
        <w:t>法定代表人：王鹏</w:t>
      </w:r>
    </w:p>
    <w:p>
      <w:pPr>
        <w:spacing w:before="156" w:beforeLines="50"/>
        <w:ind w:firstLine="480" w:firstLineChars="200"/>
        <w:rPr>
          <w:rFonts w:ascii="Times New Roman" w:hAnsi="Times New Roman" w:eastAsia="楷体_GB2312"/>
          <w:sz w:val="24"/>
        </w:rPr>
      </w:pPr>
      <w:r>
        <w:rPr>
          <w:rFonts w:hint="eastAsia" w:ascii="Times New Roman" w:hAnsi="Times New Roman" w:eastAsia="楷体_GB2312"/>
          <w:sz w:val="24"/>
        </w:rPr>
        <w:t>联系人：【郭胜霖】</w:t>
      </w:r>
    </w:p>
    <w:p>
      <w:pPr>
        <w:spacing w:before="156" w:beforeLines="50"/>
        <w:ind w:firstLine="480" w:firstLineChars="200"/>
        <w:rPr>
          <w:rFonts w:ascii="Times New Roman" w:hAnsi="Times New Roman" w:eastAsia="楷体_GB2312"/>
          <w:sz w:val="24"/>
        </w:rPr>
      </w:pPr>
      <w:r>
        <w:rPr>
          <w:rFonts w:hint="eastAsia" w:ascii="Times New Roman" w:hAnsi="Times New Roman" w:eastAsia="楷体_GB2312"/>
          <w:sz w:val="24"/>
        </w:rPr>
        <w:t>联系地址：北京市朝阳区裕民路12号中国国际科技会展中心A座1</w:t>
      </w:r>
      <w:r>
        <w:rPr>
          <w:rFonts w:ascii="Times New Roman" w:hAnsi="Times New Roman" w:eastAsia="楷体_GB2312"/>
          <w:sz w:val="24"/>
        </w:rPr>
        <w:t>6</w:t>
      </w:r>
      <w:r>
        <w:rPr>
          <w:rFonts w:hint="eastAsia" w:ascii="Times New Roman" w:hAnsi="Times New Roman" w:eastAsia="楷体_GB2312"/>
          <w:sz w:val="24"/>
        </w:rPr>
        <w:t>层1</w:t>
      </w:r>
      <w:r>
        <w:rPr>
          <w:rFonts w:ascii="Times New Roman" w:hAnsi="Times New Roman" w:eastAsia="楷体_GB2312"/>
          <w:sz w:val="24"/>
        </w:rPr>
        <w:t>603</w:t>
      </w:r>
      <w:r>
        <w:rPr>
          <w:rFonts w:hint="eastAsia" w:ascii="Times New Roman" w:hAnsi="Times New Roman" w:eastAsia="楷体_GB2312"/>
          <w:sz w:val="24"/>
        </w:rPr>
        <w:t>室</w:t>
      </w:r>
    </w:p>
    <w:p>
      <w:pPr>
        <w:spacing w:before="156" w:beforeLines="50"/>
        <w:ind w:firstLine="480" w:firstLineChars="200"/>
        <w:rPr>
          <w:rFonts w:ascii="楷体" w:hAnsi="楷体" w:eastAsia="楷体" w:cs="楷体"/>
          <w:color w:val="000000"/>
          <w:spacing w:val="10"/>
          <w:w w:val="105"/>
          <w:kern w:val="0"/>
          <w:sz w:val="24"/>
        </w:rPr>
      </w:pPr>
      <w:r>
        <w:rPr>
          <w:rFonts w:hint="eastAsia" w:ascii="Times New Roman" w:hAnsi="Times New Roman" w:eastAsia="楷体_GB2312"/>
          <w:sz w:val="24"/>
        </w:rPr>
        <w:t>电话:</w:t>
      </w:r>
      <w:r>
        <w:rPr>
          <w:rFonts w:ascii="Times New Roman" w:hAnsi="Times New Roman" w:eastAsia="楷体_GB2312"/>
          <w:sz w:val="24"/>
        </w:rPr>
        <w:t>010</w:t>
      </w:r>
      <w:r>
        <w:rPr>
          <w:rFonts w:hint="eastAsia" w:ascii="Times New Roman" w:hAnsi="Times New Roman" w:eastAsia="楷体_GB2312"/>
          <w:sz w:val="24"/>
        </w:rPr>
        <w:t>-</w:t>
      </w:r>
      <w:r>
        <w:rPr>
          <w:rFonts w:ascii="Times New Roman" w:hAnsi="Times New Roman" w:eastAsia="楷体_GB2312"/>
          <w:sz w:val="24"/>
        </w:rPr>
        <w:t>50911863</w:t>
      </w:r>
    </w:p>
    <w:p>
      <w:pPr>
        <w:adjustRightInd w:val="0"/>
        <w:snapToGrid w:val="0"/>
        <w:spacing w:before="156" w:beforeLines="50"/>
        <w:ind w:firstLine="482" w:firstLineChars="200"/>
        <w:jc w:val="left"/>
        <w:rPr>
          <w:rFonts w:ascii="楷体" w:hAnsi="楷体" w:eastAsia="楷体" w:cs="楷体"/>
          <w:b/>
          <w:bCs/>
          <w:sz w:val="24"/>
        </w:rPr>
      </w:pPr>
    </w:p>
    <w:p>
      <w:pPr>
        <w:adjustRightInd w:val="0"/>
        <w:snapToGrid w:val="0"/>
        <w:spacing w:before="156" w:beforeLines="50"/>
        <w:ind w:firstLine="480" w:firstLineChars="200"/>
        <w:jc w:val="left"/>
        <w:rPr>
          <w:rFonts w:eastAsia="楷体_GB2312"/>
          <w:b/>
          <w:bCs/>
          <w:sz w:val="24"/>
        </w:rPr>
      </w:pPr>
      <w:r>
        <w:rPr>
          <w:rFonts w:hint="eastAsia" w:ascii="楷体" w:hAnsi="楷体" w:eastAsia="楷体" w:cs="楷体"/>
          <w:sz w:val="24"/>
        </w:rPr>
        <w:t>在本协议中，各签约方合称为“双方”，单独称为“一方”。</w:t>
      </w:r>
      <w:r>
        <w:rPr>
          <w:rFonts w:eastAsia="楷体_GB2312"/>
          <w:b/>
          <w:bCs/>
          <w:sz w:val="24"/>
        </w:rPr>
        <w:br w:type="page"/>
      </w:r>
    </w:p>
    <w:p>
      <w:pPr>
        <w:spacing w:before="156" w:beforeLines="50"/>
        <w:ind w:firstLine="482" w:firstLineChars="200"/>
        <w:rPr>
          <w:rFonts w:ascii="楷体" w:hAnsi="楷体" w:eastAsia="楷体"/>
          <w:b/>
          <w:bCs/>
          <w:sz w:val="24"/>
        </w:rPr>
      </w:pPr>
      <w:r>
        <w:rPr>
          <w:rFonts w:hint="eastAsia" w:ascii="楷体" w:hAnsi="楷体" w:eastAsia="楷体"/>
          <w:b/>
          <w:bCs/>
          <w:sz w:val="24"/>
        </w:rPr>
        <w:t>鉴于：</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甲方为依法成立并经中国银行保险监督管理委员会批准有权依法开展信托业务的非银行金融机构，已发行设立“【晟仲三十二号（金科雅安·书香府项目）集合资金信托计划】”(以下简称“信托计划”)，甲方作为信托计划的受托人有权根据信托文件的约定以信托计划项下信托资金进行投资运作。</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2.雅安金凯房地产开发有限公司（以下简称项目公司）为依法成立并有效存续的企业法人，为【</w:t>
      </w:r>
      <w:r>
        <w:rPr>
          <w:rFonts w:hint="eastAsia" w:ascii="楷体" w:hAnsi="楷体" w:eastAsia="楷体"/>
          <w:sz w:val="24"/>
        </w:rPr>
        <w:t>项目公司在编号为川（2019）雅安市不动产权第 0011379 号、川（2019）雅安市不动产权第 0013002号及川（2019）雅安市不动产权第 0013001 号土地使用权上投资开发的项目名称为金科集美书香府项目一期、二期及三期</w:t>
      </w:r>
      <w:r>
        <w:rPr>
          <w:rFonts w:hint="eastAsia" w:ascii="楷体" w:hAnsi="楷体" w:eastAsia="楷体" w:cs="楷体"/>
          <w:sz w:val="24"/>
        </w:rPr>
        <w:t>】（以下简称“标的项目”）的开发主体。</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3.乙方为依法成立并合法存续的企业法人，同意接受甲方委托，为本信托计划涉及的标的项目提供专业的房地产信托投资第三方监管服务，主要负责对证照、印章、账户的使用、项目公司的销售和资金支出等约定事项进行监督。</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4.为确保项目公司严格履行【编号为</w:t>
      </w:r>
      <w:r>
        <w:rPr>
          <w:rFonts w:ascii="楷体" w:hAnsi="楷体" w:eastAsia="楷体" w:cs="楷体"/>
          <w:sz w:val="24"/>
        </w:rPr>
        <w:t>JHXT20</w:t>
      </w:r>
      <w:r>
        <w:rPr>
          <w:rFonts w:hint="eastAsia" w:ascii="楷体" w:hAnsi="楷体" w:eastAsia="楷体" w:cs="楷体"/>
          <w:sz w:val="24"/>
        </w:rPr>
        <w:t>210220046</w:t>
      </w:r>
      <w:r>
        <w:rPr>
          <w:rFonts w:ascii="楷体" w:hAnsi="楷体" w:eastAsia="楷体" w:cs="楷体"/>
          <w:sz w:val="24"/>
        </w:rPr>
        <w:t>-RZ-DKO1</w:t>
      </w:r>
      <w:r>
        <w:rPr>
          <w:rFonts w:hint="eastAsia" w:ascii="楷体" w:hAnsi="楷体" w:eastAsia="楷体" w:cs="楷体"/>
          <w:sz w:val="24"/>
        </w:rPr>
        <w:t>的《信托贷款合同》】及其补充协议的相关约定，加强对项目公司及标的项目的后续监管，甲方特委派乙方对项目公司及标的项目进行驻场监管，项目公司同意甲方委托乙方对其进行全面驻场管理，包含但不限于对项目公司的日常运营、项目开发建设等事项进行全面监管，并应配合乙方的监管。</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5.为明确双方基本权利义务，双方本着自愿、公平、诚实信用的原则，就项目监管事宜签订本协议，以资共同遵照履行。</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1" w:name="_Toc73798370"/>
      <w:bookmarkStart w:id="2" w:name="_Toc23971"/>
      <w:bookmarkStart w:id="3" w:name="_Toc22529"/>
      <w:r>
        <w:rPr>
          <w:rFonts w:hint="eastAsia" w:ascii="楷体" w:hAnsi="楷体" w:eastAsia="楷体" w:cs="楷体"/>
        </w:rPr>
        <w:t>第1条 定义和解释</w:t>
      </w:r>
      <w:bookmarkEnd w:id="1"/>
      <w:bookmarkEnd w:id="2"/>
      <w:bookmarkEnd w:id="3"/>
    </w:p>
    <w:p>
      <w:pPr>
        <w:pStyle w:val="14"/>
        <w:spacing w:before="156" w:beforeLines="50"/>
        <w:ind w:left="480" w:firstLine="0" w:firstLineChars="0"/>
        <w:rPr>
          <w:rFonts w:ascii="楷体" w:hAnsi="楷体" w:eastAsia="楷体"/>
          <w:sz w:val="24"/>
        </w:rPr>
      </w:pPr>
      <w:r>
        <w:rPr>
          <w:rFonts w:hint="eastAsia" w:ascii="楷体" w:hAnsi="楷体" w:eastAsia="楷体"/>
          <w:sz w:val="24"/>
        </w:rPr>
        <w:t>1</w:t>
      </w:r>
      <w:r>
        <w:rPr>
          <w:rFonts w:ascii="楷体" w:hAnsi="楷体" w:eastAsia="楷体"/>
          <w:sz w:val="24"/>
        </w:rPr>
        <w:t>.1</w:t>
      </w:r>
      <w:r>
        <w:rPr>
          <w:rFonts w:hint="eastAsia" w:ascii="楷体" w:hAnsi="楷体" w:eastAsia="楷体"/>
          <w:sz w:val="24"/>
        </w:rPr>
        <w:t>定义</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除非文意另有所指，下列词语在本协议中具有如下定义：</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本协议：指编号为【</w:t>
      </w:r>
      <w:r>
        <w:rPr>
          <w:rFonts w:ascii="楷体" w:hAnsi="楷体" w:eastAsia="楷体" w:cs="楷体"/>
          <w:sz w:val="24"/>
        </w:rPr>
        <w:t>JHXT20210220046-RZ-QTO1</w:t>
      </w:r>
      <w:r>
        <w:rPr>
          <w:rFonts w:hint="eastAsia" w:ascii="楷体" w:hAnsi="楷体" w:eastAsia="楷体" w:cs="楷体"/>
          <w:sz w:val="24"/>
        </w:rPr>
        <w:t>的金科四川雅安集美书·香府项目监管协议</w:t>
      </w:r>
      <w:r>
        <w:rPr>
          <w:rFonts w:hint="eastAsia" w:ascii="楷体" w:hAnsi="楷体" w:eastAsia="楷体"/>
          <w:sz w:val="24"/>
        </w:rPr>
        <w:t>】及对其任何有效的修订和补充。</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项目公司：指标的项目的开发建设主体即本协议“项目公司”。</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标的项目：【指项目公司在编号为川（2019）雅安市不动产权第 0011379 号、川（2019）雅安市不动产权第 0013002号及川（2019）雅安市不动产权第 0013001 号土地使用权上投资开发的项目名称为金科集美书香府项目一期、二期及三期（以下统称为“标的项目”）】。</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抵押项目：指【标的项目中项目公司用于向甲方提供抵押担保的抵押物所属项目，具体抵押项目以《抵押合同》约定为准】。</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《信托贷款合同》：指【</w:t>
      </w:r>
      <w:r>
        <w:rPr>
          <w:rFonts w:hint="eastAsia" w:ascii="楷体" w:hAnsi="楷体" w:eastAsia="楷体" w:cs="楷体"/>
          <w:sz w:val="24"/>
        </w:rPr>
        <w:t>编号为</w:t>
      </w:r>
      <w:r>
        <w:rPr>
          <w:rFonts w:ascii="楷体" w:hAnsi="楷体" w:eastAsia="楷体" w:cs="楷体"/>
          <w:sz w:val="24"/>
        </w:rPr>
        <w:t>JHXT20</w:t>
      </w:r>
      <w:r>
        <w:rPr>
          <w:rFonts w:hint="eastAsia" w:ascii="楷体" w:hAnsi="楷体" w:eastAsia="楷体" w:cs="楷体"/>
          <w:sz w:val="24"/>
        </w:rPr>
        <w:t>210220046</w:t>
      </w:r>
      <w:r>
        <w:rPr>
          <w:rFonts w:ascii="楷体" w:hAnsi="楷体" w:eastAsia="楷体" w:cs="楷体"/>
          <w:sz w:val="24"/>
        </w:rPr>
        <w:t>-RZ-DKO1</w:t>
      </w:r>
      <w:r>
        <w:rPr>
          <w:rFonts w:hint="eastAsia" w:ascii="楷体" w:hAnsi="楷体" w:eastAsia="楷体" w:cs="楷体"/>
          <w:sz w:val="24"/>
        </w:rPr>
        <w:t>的《信托资金贷款合同》及其任何修改、补充和附件</w:t>
      </w:r>
      <w:r>
        <w:rPr>
          <w:rFonts w:hint="eastAsia" w:ascii="楷体" w:hAnsi="楷体" w:eastAsia="楷体"/>
          <w:sz w:val="24"/>
        </w:rPr>
        <w:t>。】。</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《抵押合同》：指【</w:t>
      </w:r>
      <w:r>
        <w:rPr>
          <w:rFonts w:hint="eastAsia" w:ascii="楷体" w:hAnsi="楷体" w:eastAsia="楷体" w:cs="楷体"/>
          <w:sz w:val="24"/>
        </w:rPr>
        <w:t>编号为</w:t>
      </w:r>
      <w:r>
        <w:rPr>
          <w:rFonts w:ascii="楷体" w:hAnsi="楷体" w:eastAsia="楷体" w:cs="楷体"/>
          <w:sz w:val="24"/>
        </w:rPr>
        <w:t>JHXT20</w:t>
      </w:r>
      <w:r>
        <w:rPr>
          <w:rFonts w:hint="eastAsia" w:ascii="楷体" w:hAnsi="楷体" w:eastAsia="楷体" w:cs="楷体"/>
          <w:sz w:val="24"/>
        </w:rPr>
        <w:t>210220046</w:t>
      </w:r>
      <w:r>
        <w:rPr>
          <w:rFonts w:ascii="楷体" w:hAnsi="楷体" w:eastAsia="楷体" w:cs="楷体"/>
          <w:sz w:val="24"/>
        </w:rPr>
        <w:t>-RZ-D</w:t>
      </w:r>
      <w:r>
        <w:rPr>
          <w:rFonts w:hint="eastAsia" w:ascii="楷体" w:hAnsi="楷体" w:eastAsia="楷体" w:cs="楷体"/>
          <w:sz w:val="24"/>
        </w:rPr>
        <w:t>Y</w:t>
      </w:r>
      <w:r>
        <w:rPr>
          <w:rFonts w:ascii="楷体" w:hAnsi="楷体" w:eastAsia="楷体" w:cs="楷体"/>
          <w:sz w:val="24"/>
        </w:rPr>
        <w:t>O1</w:t>
      </w:r>
      <w:r>
        <w:rPr>
          <w:rFonts w:hint="eastAsia" w:ascii="楷体" w:hAnsi="楷体" w:eastAsia="楷体" w:cs="楷体"/>
          <w:sz w:val="24"/>
        </w:rPr>
        <w:t>的《抵押合同》</w:t>
      </w:r>
      <w:r>
        <w:rPr>
          <w:rFonts w:hint="eastAsia" w:ascii="楷体" w:hAnsi="楷体" w:eastAsia="楷体"/>
          <w:sz w:val="24"/>
        </w:rPr>
        <w:t>】。</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元：指人民币元。</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年：指公历年，本协议中涉及计算时年为</w:t>
      </w:r>
      <w:r>
        <w:rPr>
          <w:rFonts w:ascii="Times New Roman" w:hAnsi="Times New Roman" w:eastAsia="楷体_GB2312"/>
          <w:sz w:val="24"/>
        </w:rPr>
        <w:t>365</w:t>
      </w:r>
      <w:r>
        <w:rPr>
          <w:rFonts w:hint="eastAsia" w:ascii="楷体" w:hAnsi="楷体" w:eastAsia="楷体"/>
          <w:sz w:val="24"/>
        </w:rPr>
        <w:t>天。</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工作日：指中国大陆法定公休日和法定节假日以外的日期。</w:t>
      </w:r>
    </w:p>
    <w:p>
      <w:pPr>
        <w:tabs>
          <w:tab w:val="left" w:pos="900"/>
        </w:tabs>
        <w:spacing w:before="156" w:beforeLines="50"/>
        <w:ind w:firstLine="480" w:firstLineChars="200"/>
        <w:rPr>
          <w:rFonts w:ascii="楷体" w:hAnsi="楷体" w:eastAsia="楷体"/>
          <w:sz w:val="24"/>
        </w:rPr>
      </w:pPr>
      <w:r>
        <w:rPr>
          <w:rFonts w:hint="eastAsia" w:ascii="楷体" w:hAnsi="楷体" w:eastAsia="楷体"/>
          <w:sz w:val="24"/>
        </w:rPr>
        <w:t>中国：指中华人民共和国（不包括香港特别行政区、澳门特别行政区和台湾地区）。</w:t>
      </w:r>
    </w:p>
    <w:p>
      <w:pPr>
        <w:pStyle w:val="14"/>
        <w:spacing w:before="156" w:beforeLines="50"/>
        <w:ind w:left="480" w:firstLine="0" w:firstLineChars="0"/>
        <w:rPr>
          <w:rFonts w:ascii="楷体" w:hAnsi="楷体" w:eastAsia="楷体"/>
          <w:sz w:val="24"/>
        </w:rPr>
      </w:pPr>
      <w:r>
        <w:rPr>
          <w:rFonts w:hint="eastAsia" w:ascii="楷体" w:hAnsi="楷体" w:eastAsia="楷体"/>
          <w:sz w:val="24"/>
        </w:rPr>
        <w:t>1</w:t>
      </w:r>
      <w:r>
        <w:rPr>
          <w:rFonts w:ascii="楷体" w:hAnsi="楷体" w:eastAsia="楷体"/>
          <w:sz w:val="24"/>
        </w:rPr>
        <w:t>.2</w:t>
      </w:r>
      <w:r>
        <w:rPr>
          <w:rFonts w:hint="eastAsia" w:ascii="楷体" w:hAnsi="楷体" w:eastAsia="楷体"/>
          <w:sz w:val="24"/>
        </w:rPr>
        <w:t>解释</w:t>
      </w:r>
    </w:p>
    <w:p>
      <w:pPr>
        <w:pStyle w:val="14"/>
        <w:tabs>
          <w:tab w:val="left" w:pos="1620"/>
        </w:tabs>
        <w:spacing w:before="156" w:beforeLines="50"/>
        <w:ind w:firstLine="480"/>
        <w:rPr>
          <w:rFonts w:ascii="楷体" w:hAnsi="楷体" w:eastAsia="楷体"/>
          <w:sz w:val="24"/>
        </w:rPr>
      </w:pPr>
      <w:r>
        <w:rPr>
          <w:rFonts w:hint="eastAsia" w:ascii="楷体" w:hAnsi="楷体" w:eastAsia="楷体"/>
          <w:sz w:val="24"/>
        </w:rPr>
        <w:t>除上下文另有规定外，本协议所使用的有关“本协议的”、“本协议中”、“本协议内”、“本协议项下”，以及其他具有类似含义的词语，是指包括本协议全部组成部分的合同整体，而不是指本协议的任何特定部分或条款。</w:t>
      </w:r>
    </w:p>
    <w:p>
      <w:pPr>
        <w:pStyle w:val="14"/>
        <w:tabs>
          <w:tab w:val="left" w:pos="1620"/>
        </w:tabs>
        <w:spacing w:before="156" w:beforeLines="50"/>
        <w:ind w:firstLine="424" w:firstLineChars="177"/>
        <w:rPr>
          <w:rFonts w:ascii="楷体" w:hAnsi="楷体" w:eastAsia="楷体"/>
          <w:sz w:val="24"/>
        </w:rPr>
      </w:pPr>
      <w:r>
        <w:rPr>
          <w:rFonts w:hint="eastAsia" w:ascii="楷体" w:hAnsi="楷体" w:eastAsia="楷体"/>
          <w:sz w:val="24"/>
        </w:rPr>
        <w:t>本协议条款标题不得被视为等同于该条款所包括的全部内容，或被用来解释该等条款或本协议。</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4" w:name="_Toc3604"/>
      <w:bookmarkStart w:id="5" w:name="_Toc19810"/>
      <w:bookmarkStart w:id="6" w:name="_Toc73798371"/>
      <w:r>
        <w:rPr>
          <w:rFonts w:hint="eastAsia" w:ascii="楷体" w:hAnsi="楷体" w:eastAsia="楷体" w:cs="楷体"/>
        </w:rPr>
        <w:t>第2条 标的项目概况</w:t>
      </w:r>
      <w:bookmarkEnd w:id="4"/>
      <w:bookmarkEnd w:id="5"/>
      <w:bookmarkEnd w:id="6"/>
    </w:p>
    <w:p>
      <w:pPr>
        <w:adjustRightInd w:val="0"/>
        <w:snapToGrid w:val="0"/>
        <w:spacing w:before="156" w:beforeLines="50"/>
        <w:ind w:firstLine="480" w:firstLineChars="200"/>
        <w:jc w:val="left"/>
        <w:rPr>
          <w:rFonts w:ascii="Times New Roman" w:hAnsi="Times New Roman" w:eastAsia="楷体_GB2312"/>
          <w:sz w:val="24"/>
        </w:rPr>
      </w:pPr>
      <w:r>
        <w:rPr>
          <w:rFonts w:ascii="楷体" w:hAnsi="楷体" w:eastAsia="楷体" w:cstheme="minorHAnsi"/>
          <w:bCs/>
          <w:sz w:val="24"/>
        </w:rPr>
        <w:t>2.1</w:t>
      </w:r>
      <w:r>
        <w:rPr>
          <w:rFonts w:hint="eastAsia" w:ascii="楷体" w:hAnsi="楷体" w:eastAsia="楷体" w:cs="楷体"/>
          <w:sz w:val="24"/>
        </w:rPr>
        <w:t>项目名称：</w:t>
      </w:r>
      <w:r>
        <w:rPr>
          <w:rFonts w:hint="eastAsia" w:ascii="Times New Roman" w:hAnsi="Times New Roman" w:eastAsia="楷体_GB2312"/>
          <w:sz w:val="24"/>
        </w:rPr>
        <w:t>【</w:t>
      </w:r>
      <w:r>
        <w:rPr>
          <w:rFonts w:hint="eastAsia" w:ascii="楷体" w:hAnsi="楷体" w:eastAsia="楷体" w:cs="楷体"/>
          <w:sz w:val="24"/>
        </w:rPr>
        <w:t>金科雅安·书香府项目</w:t>
      </w:r>
      <w:r>
        <w:rPr>
          <w:rFonts w:hint="eastAsia" w:ascii="Times New Roman" w:hAnsi="Times New Roman" w:eastAsia="楷体_GB2312"/>
          <w:sz w:val="24"/>
        </w:rPr>
        <w:t>】。</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theme="minorHAnsi"/>
          <w:bCs/>
          <w:sz w:val="24"/>
        </w:rPr>
        <w:t>2.2</w:t>
      </w:r>
      <w:r>
        <w:rPr>
          <w:rFonts w:hint="eastAsia" w:ascii="楷体" w:hAnsi="楷体" w:eastAsia="楷体" w:cs="楷体"/>
          <w:sz w:val="24"/>
        </w:rPr>
        <w:t>项目地址：</w:t>
      </w:r>
      <w:r>
        <w:rPr>
          <w:rFonts w:hint="eastAsia" w:eastAsia="楷体_GB2312" w:cs="Arial"/>
          <w:sz w:val="24"/>
        </w:rPr>
        <w:t>【</w:t>
      </w:r>
      <w:r>
        <w:rPr>
          <w:rFonts w:hint="eastAsia" w:ascii="楷体" w:hAnsi="楷体" w:eastAsia="楷体" w:cs="楷体"/>
          <w:sz w:val="24"/>
        </w:rPr>
        <w:t>雅安市雨城区中心城区建安片区</w:t>
      </w:r>
      <w:r>
        <w:rPr>
          <w:rFonts w:hint="eastAsia" w:eastAsia="楷体_GB2312" w:cs="Arial"/>
          <w:sz w:val="24"/>
        </w:rPr>
        <w:t>】</w:t>
      </w:r>
      <w:r>
        <w:rPr>
          <w:rFonts w:hint="eastAsia" w:ascii="楷体" w:hAnsi="楷体" w:eastAsia="楷体" w:cs="楷体"/>
          <w:sz w:val="24"/>
        </w:rPr>
        <w:t>。</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theme="minorHAnsi"/>
          <w:bCs/>
          <w:sz w:val="24"/>
        </w:rPr>
        <w:t>2.3</w:t>
      </w:r>
      <w:r>
        <w:rPr>
          <w:rFonts w:hint="eastAsia" w:ascii="楷体" w:hAnsi="楷体" w:eastAsia="楷体" w:cs="楷体"/>
          <w:sz w:val="24"/>
        </w:rPr>
        <w:t>项目公司名称：</w:t>
      </w:r>
      <w:r>
        <w:rPr>
          <w:rFonts w:hint="eastAsia" w:eastAsia="楷体_GB2312"/>
          <w:sz w:val="24"/>
        </w:rPr>
        <w:t>【</w:t>
      </w:r>
      <w:r>
        <w:rPr>
          <w:rFonts w:hint="eastAsia" w:ascii="楷体" w:hAnsi="楷体" w:eastAsia="楷体" w:cs="楷体"/>
          <w:sz w:val="24"/>
        </w:rPr>
        <w:t>雅安金凯房地产开发有限公司</w:t>
      </w:r>
      <w:r>
        <w:rPr>
          <w:rFonts w:hint="eastAsia" w:eastAsia="楷体_GB2312"/>
          <w:sz w:val="24"/>
        </w:rPr>
        <w:t>】</w:t>
      </w:r>
      <w:r>
        <w:rPr>
          <w:rFonts w:hint="eastAsia" w:ascii="楷体" w:hAnsi="楷体" w:eastAsia="楷体" w:cs="楷体"/>
          <w:sz w:val="24"/>
        </w:rPr>
        <w:t>。</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theme="minorHAnsi"/>
          <w:bCs/>
          <w:sz w:val="24"/>
        </w:rPr>
        <w:t>2.4</w:t>
      </w:r>
      <w:r>
        <w:rPr>
          <w:rFonts w:hint="eastAsia" w:ascii="楷体" w:hAnsi="楷体" w:eastAsia="楷体" w:cs="楷体"/>
          <w:sz w:val="24"/>
        </w:rPr>
        <w:t>项目基本指标:出让面积合计</w:t>
      </w:r>
      <w:r>
        <w:rPr>
          <w:rFonts w:hint="eastAsia" w:ascii="Times New Roman" w:hAnsi="Times New Roman" w:eastAsia="楷体_GB2312"/>
          <w:sz w:val="24"/>
        </w:rPr>
        <w:t>【</w:t>
      </w:r>
      <w:r>
        <w:rPr>
          <w:rFonts w:ascii="楷体" w:hAnsi="楷体" w:eastAsia="楷体" w:cs="楷体"/>
          <w:sz w:val="24"/>
        </w:rPr>
        <w:t>56,590.79</w:t>
      </w:r>
      <w:r>
        <w:rPr>
          <w:rFonts w:hint="eastAsia" w:ascii="Times New Roman" w:hAnsi="Times New Roman" w:eastAsia="楷体_GB2312"/>
          <w:sz w:val="24"/>
        </w:rPr>
        <w:t>】平方米，土地用途：【城镇住宅用地、商服用地】，出让年限【住宅70年、商服4</w:t>
      </w:r>
      <w:r>
        <w:rPr>
          <w:rFonts w:ascii="Times New Roman" w:hAnsi="Times New Roman" w:eastAsia="楷体_GB2312"/>
          <w:sz w:val="24"/>
        </w:rPr>
        <w:t>0年</w:t>
      </w:r>
      <w:r>
        <w:rPr>
          <w:rFonts w:hint="eastAsia" w:ascii="Times New Roman" w:hAnsi="Times New Roman" w:eastAsia="楷体_GB2312"/>
          <w:sz w:val="24"/>
        </w:rPr>
        <w:t>】，容积率【</w:t>
      </w:r>
      <w:r>
        <w:rPr>
          <w:rFonts w:hint="eastAsia" w:ascii="楷体" w:hAnsi="楷体" w:eastAsia="楷体" w:cs="楷体"/>
          <w:sz w:val="24"/>
        </w:rPr>
        <w:t>2.8-</w:t>
      </w:r>
      <w:r>
        <w:rPr>
          <w:rFonts w:ascii="楷体" w:hAnsi="楷体" w:eastAsia="楷体" w:cs="楷体"/>
          <w:sz w:val="24"/>
        </w:rPr>
        <w:t>3.2</w:t>
      </w:r>
      <w:r>
        <w:rPr>
          <w:rFonts w:hint="eastAsia" w:ascii="Times New Roman" w:hAnsi="Times New Roman" w:eastAsia="楷体_GB2312"/>
          <w:sz w:val="24"/>
        </w:rPr>
        <w:t>】，计容面积合计【</w:t>
      </w:r>
      <w:r>
        <w:rPr>
          <w:rFonts w:ascii="楷体" w:hAnsi="楷体" w:eastAsia="楷体" w:cs="楷体"/>
          <w:sz w:val="24"/>
        </w:rPr>
        <w:t>169,766.20</w:t>
      </w:r>
      <w:r>
        <w:rPr>
          <w:rFonts w:hint="eastAsia" w:ascii="Times New Roman" w:hAnsi="Times New Roman" w:eastAsia="楷体_GB2312"/>
          <w:sz w:val="24"/>
        </w:rPr>
        <w:t>】平方米。</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7" w:name="_Toc73798372"/>
      <w:bookmarkStart w:id="8" w:name="_Toc23349"/>
      <w:bookmarkStart w:id="9" w:name="_Toc32564"/>
      <w:r>
        <w:rPr>
          <w:rFonts w:hint="eastAsia" w:ascii="楷体" w:hAnsi="楷体" w:eastAsia="楷体" w:cs="楷体"/>
        </w:rPr>
        <w:t>第3条 监管方式及监管期限</w:t>
      </w:r>
      <w:bookmarkEnd w:id="7"/>
      <w:bookmarkEnd w:id="8"/>
    </w:p>
    <w:p>
      <w:pPr>
        <w:spacing w:before="156" w:beforeLines="50"/>
        <w:ind w:firstLine="480" w:firstLineChars="200"/>
        <w:rPr>
          <w:rFonts w:ascii="楷体" w:hAnsi="楷体" w:eastAsia="楷体"/>
          <w:sz w:val="24"/>
        </w:rPr>
      </w:pPr>
      <w:r>
        <w:rPr>
          <w:rFonts w:hint="eastAsia" w:ascii="楷体" w:hAnsi="楷体" w:eastAsia="楷体"/>
          <w:sz w:val="24"/>
        </w:rPr>
        <w:t>3.1双方同意由乙方向项目公司指派【1】名现场监管人员（以下简称“乙方人员”，具体以附件四列明的为准），并依据本协议采取驻场监管的方式进行监管，项目公司确认并同意配合乙方按照本协议进行监管。乙方有权在提前通知甲方并经甲方同意的前提下更换包括派驻现场监管人员在内的标的项目服务人员。同时，项目公司应提供乙方监管必要和必须的配合与支持，包括但不限于资料、办公场所等。</w:t>
      </w:r>
    </w:p>
    <w:p>
      <w:pPr>
        <w:spacing w:before="156" w:beforeLines="50"/>
        <w:ind w:firstLine="480" w:firstLineChars="200"/>
        <w:rPr>
          <w:rFonts w:ascii="楷体" w:hAnsi="楷体" w:eastAsia="楷体"/>
          <w:sz w:val="24"/>
        </w:rPr>
      </w:pPr>
      <w:r>
        <w:rPr>
          <w:rFonts w:hint="eastAsia" w:ascii="楷体" w:hAnsi="楷体" w:eastAsia="楷体"/>
          <w:sz w:val="24"/>
        </w:rPr>
        <w:t>3.2乙方有权了解并知悉标的项目整体运营状况，项目公司应主动配合提供乙方开展监管工作所需支持。乙方监管事项主要涉及项目公司相关证照、项目公司的有关印鉴及账户的管理使用情况，标的项目合同签署、工程进度、销售情况等。在监管过程中，若发现对标的项目顺利实施有影响的重大事项，乙方人员应及时通知甲方。</w:t>
      </w:r>
    </w:p>
    <w:p>
      <w:pPr>
        <w:numPr>
          <w:ilvl w:val="255"/>
          <w:numId w:val="0"/>
        </w:numPr>
        <w:tabs>
          <w:tab w:val="left" w:pos="993"/>
        </w:tabs>
        <w:adjustRightInd w:val="0"/>
        <w:snapToGrid w:val="0"/>
        <w:spacing w:before="156" w:beforeLines="50"/>
        <w:ind w:firstLine="480" w:firstLineChars="200"/>
        <w:rPr>
          <w:rFonts w:ascii="楷体" w:hAnsi="楷体" w:eastAsia="楷体"/>
        </w:rPr>
      </w:pPr>
      <w:r>
        <w:rPr>
          <w:rFonts w:hint="eastAsia" w:ascii="楷体" w:hAnsi="楷体" w:eastAsia="楷体"/>
          <w:sz w:val="24"/>
        </w:rPr>
        <w:t>3.3双方同意乙方正式驻场之日，以本协议所列内容为监管范围依据，在标的项目现场，甲方、项目公司和乙方人员应在乙方正式驻场之日（具体以甲方书面通知的日期为准）完成标的项目资料及本协议第</w:t>
      </w:r>
      <w:r>
        <w:rPr>
          <w:rFonts w:ascii="楷体" w:hAnsi="楷体" w:eastAsia="楷体"/>
          <w:sz w:val="24"/>
        </w:rPr>
        <w:t>4.1</w:t>
      </w:r>
      <w:r>
        <w:rPr>
          <w:rFonts w:hint="eastAsia" w:ascii="楷体" w:hAnsi="楷体" w:eastAsia="楷体"/>
          <w:sz w:val="24"/>
        </w:rPr>
        <w:t>款约定的印鉴、证照（以下简称“监管印鉴及证照”）及其他相关资料物品的现场移交共管（以下或称“现场交接”或“交接”），并签署交接确认单（须加盖项目公司公章，下同），交接确认单一式三份，三方各执一份。交接确认单应包括但不限于以下内容：本次交接的项目公司和标的项目涉及的全部监管印鉴及证照明细、交接时间、交接人员等。对于乙方正式驻场之日项目公司尚未取得的应纳入共管范围的印鉴及证照，乙方人员应当于项目公司实际取得该等印鉴及证照的当日与项目公司完成交接并签署交接确认单，项目公司应无条件予以配合。乙方人员应在正式驻场之日及后续每次新增监管印鉴及证照的交接完成当日向甲方指定邮箱【</w:t>
      </w:r>
      <w:r>
        <w:rPr>
          <w:rFonts w:ascii="楷体" w:hAnsi="楷体" w:eastAsia="楷体"/>
          <w:sz w:val="24"/>
        </w:rPr>
        <w:t>cuiyingchuan@nitic.cn</w:t>
      </w:r>
      <w:r>
        <w:rPr>
          <w:rFonts w:hint="eastAsia" w:ascii="楷体" w:hAnsi="楷体" w:eastAsia="楷体"/>
          <w:sz w:val="24"/>
        </w:rPr>
        <w:t>】发送交接完成的事项通知，并将项目公司与乙方人员签署的交接确认单扫描件作为邮件附件。</w:t>
      </w:r>
    </w:p>
    <w:p>
      <w:pPr>
        <w:numPr>
          <w:ilvl w:val="255"/>
          <w:numId w:val="0"/>
        </w:numPr>
        <w:tabs>
          <w:tab w:val="left" w:pos="993"/>
        </w:tabs>
        <w:adjustRightInd w:val="0"/>
        <w:snapToGrid w:val="0"/>
        <w:spacing w:before="156" w:beforeLines="50"/>
        <w:ind w:firstLine="480" w:firstLineChars="200"/>
        <w:rPr>
          <w:rFonts w:ascii="楷体" w:hAnsi="楷体" w:eastAsia="楷体" w:cs="楷体"/>
        </w:rPr>
      </w:pPr>
      <w:r>
        <w:rPr>
          <w:rFonts w:hint="eastAsia" w:ascii="楷体" w:hAnsi="楷体" w:eastAsia="楷体"/>
          <w:sz w:val="24"/>
        </w:rPr>
        <w:t>3.4 乙方向甲方提供监管服务的期限自乙方接到甲方书面通知进场之日始至甲方与项目公司签署的《信托贷款合同》履行完毕且乙方完成退场工作交接之日或甲方书面通知乙方终止监管服务且乙方完成退场工作交接之日止。若出现其他影响该协议继续执行情况，其最终协议终止日期在不影响任意一方利益及法律允许的前提下，经过双方友好协商书面确定为准。</w:t>
      </w:r>
    </w:p>
    <w:p>
      <w:pPr>
        <w:pStyle w:val="2"/>
        <w:numPr>
          <w:ilvl w:val="255"/>
          <w:numId w:val="0"/>
        </w:numPr>
        <w:tabs>
          <w:tab w:val="left" w:pos="2269"/>
        </w:tabs>
        <w:spacing w:before="156" w:beforeLines="50" w:after="156" w:afterLines="50" w:line="240" w:lineRule="auto"/>
        <w:ind w:firstLine="482" w:firstLineChars="200"/>
      </w:pPr>
      <w:bookmarkStart w:id="10" w:name="_Toc16387"/>
      <w:bookmarkStart w:id="11" w:name="_Toc73798373"/>
      <w:r>
        <w:rPr>
          <w:rFonts w:hint="eastAsia" w:ascii="楷体" w:hAnsi="楷体" w:eastAsia="楷体" w:cs="楷体"/>
        </w:rPr>
        <w:t>第4条 监管内容</w:t>
      </w:r>
      <w:bookmarkEnd w:id="9"/>
      <w:bookmarkEnd w:id="10"/>
      <w:bookmarkEnd w:id="11"/>
    </w:p>
    <w:p>
      <w:pPr>
        <w:pStyle w:val="14"/>
        <w:numPr>
          <w:ilvl w:val="255"/>
          <w:numId w:val="0"/>
        </w:numPr>
        <w:tabs>
          <w:tab w:val="left" w:pos="900"/>
        </w:tabs>
        <w:spacing w:before="156" w:beforeLines="50"/>
        <w:ind w:firstLine="482" w:firstLineChars="200"/>
        <w:rPr>
          <w:rFonts w:ascii="楷体" w:hAnsi="楷体" w:eastAsia="楷体"/>
          <w:b/>
          <w:sz w:val="24"/>
        </w:rPr>
      </w:pPr>
      <w:r>
        <w:rPr>
          <w:rFonts w:hint="eastAsia" w:ascii="楷体" w:hAnsi="楷体" w:eastAsia="楷体"/>
          <w:b/>
          <w:sz w:val="24"/>
        </w:rPr>
        <w:t>4</w:t>
      </w:r>
      <w:r>
        <w:rPr>
          <w:rFonts w:ascii="楷体" w:hAnsi="楷体" w:eastAsia="楷体"/>
          <w:b/>
          <w:sz w:val="24"/>
        </w:rPr>
        <w:t>.</w:t>
      </w:r>
      <w:r>
        <w:rPr>
          <w:rFonts w:hint="eastAsia" w:ascii="楷体" w:hAnsi="楷体" w:eastAsia="楷体"/>
          <w:b/>
          <w:sz w:val="24"/>
        </w:rPr>
        <w:t>1印鉴及证照保管</w:t>
      </w:r>
    </w:p>
    <w:p>
      <w:pPr>
        <w:pStyle w:val="14"/>
        <w:numPr>
          <w:ilvl w:val="255"/>
          <w:numId w:val="0"/>
        </w:numPr>
        <w:tabs>
          <w:tab w:val="left" w:pos="900"/>
        </w:tabs>
        <w:spacing w:before="156" w:beforeLines="50"/>
        <w:ind w:firstLine="480" w:firstLineChars="200"/>
        <w:rPr>
          <w:rFonts w:ascii="楷体" w:hAnsi="楷体" w:eastAsia="楷体"/>
          <w:bCs/>
          <w:sz w:val="24"/>
        </w:rPr>
      </w:pPr>
      <w:r>
        <w:rPr>
          <w:rFonts w:hint="eastAsia" w:ascii="楷体" w:hAnsi="楷体" w:eastAsia="楷体"/>
          <w:bCs/>
          <w:sz w:val="24"/>
        </w:rPr>
        <w:t>监管范围内的印鉴包括但不限于项目公司公章、合同专用章（如有）、财务章、发票专用章、法人名章、标的项目销售合同专用章（如有）、电子印章，以及在监管期限内后续新增的项目公司的任何印鉴。</w:t>
      </w:r>
    </w:p>
    <w:p>
      <w:pPr>
        <w:pStyle w:val="14"/>
        <w:numPr>
          <w:ilvl w:val="255"/>
          <w:numId w:val="0"/>
        </w:numPr>
        <w:tabs>
          <w:tab w:val="left" w:pos="900"/>
        </w:tabs>
        <w:spacing w:before="156" w:beforeLines="50"/>
        <w:ind w:firstLine="480" w:firstLineChars="200"/>
        <w:rPr>
          <w:rFonts w:ascii="Times New Roman" w:hAnsi="Times New Roman" w:eastAsia="楷体"/>
          <w:sz w:val="24"/>
        </w:rPr>
      </w:pPr>
      <w:r>
        <w:rPr>
          <w:rFonts w:hint="eastAsia" w:ascii="Times New Roman" w:hAnsi="Times New Roman" w:eastAsia="楷体"/>
          <w:sz w:val="24"/>
        </w:rPr>
        <w:t>乙方进场前，甲方已对项目公司电子印鉴数量及使用情况进行排查，了解项目公司日常运营电子印鉴使用需求，允许项目公司继续使用现有电子印鉴。如有电子印鉴使用需求，项目公司必须在审批流程上添加甲方审批权限，并通过乙方向甲方报备，经甲方同意方可使用。使用过程需乙方现场监督，存档用印文件，登记台账。项目公司应按月提供当月电子印鉴使用记录供乙方核对。项目公司如有新开设电子印鉴需求，必须通过乙方向甲方报备，同意后方可开设。</w:t>
      </w:r>
    </w:p>
    <w:p>
      <w:pPr>
        <w:pStyle w:val="14"/>
        <w:numPr>
          <w:ilvl w:val="255"/>
          <w:numId w:val="0"/>
        </w:numPr>
        <w:tabs>
          <w:tab w:val="left" w:pos="900"/>
        </w:tabs>
        <w:spacing w:before="156" w:beforeLines="50"/>
        <w:ind w:firstLine="480" w:firstLineChars="200"/>
        <w:rPr>
          <w:rFonts w:ascii="楷体" w:hAnsi="楷体" w:eastAsia="楷体"/>
          <w:bCs/>
          <w:sz w:val="24"/>
        </w:rPr>
      </w:pPr>
      <w:r>
        <w:rPr>
          <w:rFonts w:hint="eastAsia" w:ascii="楷体" w:hAnsi="楷体" w:eastAsia="楷体"/>
          <w:bCs/>
          <w:sz w:val="24"/>
        </w:rPr>
        <w:t>纳入监管范围的证照包括但不限于项目公司的营业执照（正、副本）、开户许可证（如有）、机构信用代码证、房地产开发企业资质证书、标的项目的国有土地使用证/不动产权证书、建设用地规划许可证、建设工程规划许可证、建筑工程施工许可证、他项权证（如有）、预售许可证、印鉴卡、其他重要证照报告等，以及在监管期限内后续取得的证照。</w:t>
      </w:r>
    </w:p>
    <w:p>
      <w:pPr>
        <w:pStyle w:val="14"/>
        <w:numPr>
          <w:ilvl w:val="255"/>
          <w:numId w:val="0"/>
        </w:numPr>
        <w:tabs>
          <w:tab w:val="left" w:pos="900"/>
        </w:tabs>
        <w:spacing w:before="156" w:beforeLines="50"/>
        <w:ind w:firstLine="480" w:firstLineChars="200"/>
        <w:rPr>
          <w:rFonts w:ascii="楷体" w:hAnsi="楷体" w:eastAsia="楷体"/>
          <w:bCs/>
          <w:sz w:val="24"/>
        </w:rPr>
      </w:pPr>
      <w:r>
        <w:rPr>
          <w:rFonts w:hint="eastAsia" w:ascii="楷体" w:hAnsi="楷体" w:eastAsia="楷体"/>
          <w:bCs/>
          <w:sz w:val="24"/>
        </w:rPr>
        <w:t>监管印鉴及证照由项目公司与乙方人员共管，项目公司应提供购置的经甲方认可的全新保险柜用于放置及管控印鉴及证照，该保险柜应放于项目公司办公场所（与乙方监管人员的办公室/工位属于同一栋办公楼内），乙方保管保险柜主钥匙，项目公司保管保险柜副钥匙或密码，保险柜须双方人员共同操作方可开启。乙方人员与项目公司指定人员办理监管证照、保险柜钥匙、密码交接的，乙方应填制重要物品交接确认单。项目公司应当如实报告其所有的印鉴、证照的全部情况，且未经甲方事先同意，项目公司不得私自刻制并使用属于监管范围内的任何印鉴。乙方人员需谨慎保管保险箱钥匙/密码，避免丢失/泄露。</w:t>
      </w:r>
    </w:p>
    <w:p>
      <w:pPr>
        <w:pStyle w:val="14"/>
        <w:numPr>
          <w:ilvl w:val="255"/>
          <w:numId w:val="0"/>
        </w:numPr>
        <w:tabs>
          <w:tab w:val="left" w:pos="900"/>
        </w:tabs>
        <w:spacing w:before="156" w:beforeLines="50"/>
        <w:ind w:firstLine="482" w:firstLineChars="200"/>
        <w:rPr>
          <w:rFonts w:ascii="楷体" w:hAnsi="楷体" w:eastAsia="楷体"/>
          <w:b/>
          <w:sz w:val="24"/>
        </w:rPr>
      </w:pPr>
      <w:r>
        <w:rPr>
          <w:rFonts w:hint="eastAsia" w:ascii="楷体" w:hAnsi="楷体" w:eastAsia="楷体"/>
          <w:b/>
          <w:sz w:val="24"/>
        </w:rPr>
        <w:t>4</w:t>
      </w:r>
      <w:r>
        <w:rPr>
          <w:rFonts w:ascii="楷体" w:hAnsi="楷体" w:eastAsia="楷体"/>
          <w:b/>
          <w:sz w:val="24"/>
        </w:rPr>
        <w:t>.</w:t>
      </w:r>
      <w:r>
        <w:rPr>
          <w:rFonts w:hint="eastAsia" w:ascii="楷体" w:hAnsi="楷体" w:eastAsia="楷体"/>
          <w:b/>
          <w:sz w:val="24"/>
        </w:rPr>
        <w:t>2印鉴和证照的使用管理</w:t>
      </w:r>
    </w:p>
    <w:p>
      <w:pPr>
        <w:pStyle w:val="14"/>
        <w:numPr>
          <w:ilvl w:val="255"/>
          <w:numId w:val="0"/>
        </w:numPr>
        <w:tabs>
          <w:tab w:val="left" w:pos="900"/>
        </w:tabs>
        <w:spacing w:before="156" w:beforeLines="50"/>
        <w:ind w:firstLine="480" w:firstLineChars="200"/>
        <w:rPr>
          <w:rFonts w:ascii="楷体" w:hAnsi="楷体" w:eastAsia="楷体"/>
          <w:bCs/>
          <w:sz w:val="24"/>
        </w:rPr>
      </w:pPr>
      <w:r>
        <w:rPr>
          <w:rFonts w:ascii="楷体" w:hAnsi="楷体" w:eastAsia="楷体"/>
          <w:bCs/>
          <w:sz w:val="24"/>
        </w:rPr>
        <w:t>4.</w:t>
      </w:r>
      <w:r>
        <w:rPr>
          <w:rFonts w:hint="eastAsia" w:ascii="楷体" w:hAnsi="楷体" w:eastAsia="楷体"/>
          <w:bCs/>
          <w:sz w:val="24"/>
        </w:rPr>
        <w:t>2.1印鉴、证照的使用</w:t>
      </w:r>
    </w:p>
    <w:p>
      <w:pPr>
        <w:pStyle w:val="14"/>
        <w:numPr>
          <w:ilvl w:val="255"/>
          <w:numId w:val="0"/>
        </w:numPr>
        <w:tabs>
          <w:tab w:val="left" w:pos="900"/>
        </w:tabs>
        <w:spacing w:before="156" w:beforeLines="50"/>
        <w:ind w:firstLine="480" w:firstLineChars="200"/>
        <w:rPr>
          <w:rFonts w:ascii="楷体" w:hAnsi="楷体" w:eastAsia="楷体"/>
          <w:bCs/>
          <w:sz w:val="24"/>
        </w:rPr>
      </w:pPr>
      <w:r>
        <w:rPr>
          <w:rFonts w:hint="eastAsia" w:ascii="楷体" w:hAnsi="楷体" w:eastAsia="楷体"/>
          <w:bCs/>
          <w:sz w:val="24"/>
        </w:rPr>
        <w:t>监管范围内印鉴、证照的使用采用授权使用、事前审批、台账登记制度共同管理。甲方将用印、用证事项按其管理要求进行授权，甲方对乙方的授权范围以本协议附件一约定为准，如发生变动，则以甲方书面通知的为准。</w:t>
      </w:r>
    </w:p>
    <w:p>
      <w:pPr>
        <w:pStyle w:val="14"/>
        <w:numPr>
          <w:ilvl w:val="255"/>
          <w:numId w:val="0"/>
        </w:numPr>
        <w:tabs>
          <w:tab w:val="left" w:pos="900"/>
        </w:tabs>
        <w:spacing w:before="156" w:beforeLines="50"/>
        <w:ind w:firstLine="480" w:firstLineChars="200"/>
        <w:rPr>
          <w:rFonts w:ascii="楷体" w:hAnsi="楷体" w:eastAsia="楷体"/>
          <w:bCs/>
          <w:sz w:val="24"/>
        </w:rPr>
      </w:pPr>
      <w:r>
        <w:rPr>
          <w:rFonts w:hint="eastAsia" w:ascii="Times New Roman" w:hAnsi="Times New Roman" w:eastAsia="楷体"/>
          <w:sz w:val="24"/>
        </w:rPr>
        <w:t>项目公司必须在所有的印鉴证照审批节点上添加甲方审批权限，并通过乙方初审后，依据审批权限，上报甲方审批。</w:t>
      </w:r>
    </w:p>
    <w:p>
      <w:pPr>
        <w:pStyle w:val="14"/>
        <w:numPr>
          <w:ilvl w:val="255"/>
          <w:numId w:val="0"/>
        </w:numPr>
        <w:tabs>
          <w:tab w:val="left" w:pos="900"/>
        </w:tabs>
        <w:spacing w:before="156" w:beforeLines="50"/>
        <w:ind w:firstLine="480" w:firstLineChars="200"/>
        <w:rPr>
          <w:rFonts w:ascii="楷体" w:hAnsi="楷体" w:eastAsia="楷体"/>
          <w:bCs/>
          <w:sz w:val="24"/>
        </w:rPr>
      </w:pPr>
      <w:r>
        <w:rPr>
          <w:rFonts w:hint="eastAsia" w:ascii="楷体" w:hAnsi="楷体" w:eastAsia="楷体"/>
          <w:bCs/>
          <w:sz w:val="24"/>
        </w:rPr>
        <w:t>授权范围内事项，项目公司应至少提前1个工作日报乙方人员审核，乙方人员审核后若无异议，乙方专人完成台账登记并进行使用；授权范围外事项乙方人员初审后通过电子邮件、微信、短信、增加甲方审批节点等形式上报甲方审批。甲方终审后通过电子邮件（邮箱地址【</w:t>
      </w:r>
      <w:r>
        <w:rPr>
          <w:rFonts w:ascii="楷体" w:hAnsi="楷体" w:eastAsia="楷体"/>
          <w:bCs/>
          <w:sz w:val="24"/>
        </w:rPr>
        <w:t>cuiyingchuan@nitic.cn</w:t>
      </w:r>
      <w:r>
        <w:rPr>
          <w:rFonts w:hint="eastAsia" w:ascii="楷体" w:hAnsi="楷体" w:eastAsia="楷体"/>
          <w:bCs/>
          <w:sz w:val="24"/>
        </w:rPr>
        <w:t>】）、微信、短信、甲方在审批节点审批同意等形式向乙方人员发出指令（本协议中乙方报送甲方审批及甲方审批后向乙方发送指令的方式均按此执行），乙方人员根据甲方指令进行相关工作，并登记台账。印鉴、证照使用过程中不得脱离乙方人员视线。项目公司应向甲方事先备案其印鉴/证照使用事项的有权审批人信息，在提出任何用印/用证申请时均需同时提交其内部审批资料。登记台账中需明确记录用印/用证日期、印章/证照类型、用印/用证事由等，并留存用印/用证文件复印件或扫描件备查。</w:t>
      </w:r>
    </w:p>
    <w:p>
      <w:pPr>
        <w:pStyle w:val="14"/>
        <w:numPr>
          <w:ilvl w:val="255"/>
          <w:numId w:val="0"/>
        </w:numPr>
        <w:tabs>
          <w:tab w:val="left" w:pos="900"/>
        </w:tabs>
        <w:spacing w:before="156" w:beforeLines="50"/>
        <w:ind w:firstLine="480" w:firstLineChars="200"/>
        <w:rPr>
          <w:rFonts w:ascii="楷体" w:hAnsi="楷体" w:eastAsia="楷体"/>
          <w:bCs/>
          <w:sz w:val="24"/>
        </w:rPr>
      </w:pPr>
      <w:r>
        <w:rPr>
          <w:rFonts w:ascii="楷体" w:hAnsi="楷体" w:eastAsia="楷体"/>
          <w:bCs/>
          <w:sz w:val="24"/>
        </w:rPr>
        <w:t>4.</w:t>
      </w:r>
      <w:r>
        <w:rPr>
          <w:rFonts w:hint="eastAsia" w:ascii="楷体" w:hAnsi="楷体" w:eastAsia="楷体"/>
          <w:bCs/>
          <w:sz w:val="24"/>
        </w:rPr>
        <w:t>2.2印鉴、证照的（借用）外出</w:t>
      </w:r>
    </w:p>
    <w:p>
      <w:pPr>
        <w:pStyle w:val="14"/>
        <w:numPr>
          <w:ilvl w:val="255"/>
          <w:numId w:val="0"/>
        </w:numPr>
        <w:tabs>
          <w:tab w:val="left" w:pos="900"/>
        </w:tabs>
        <w:spacing w:before="156" w:beforeLines="50"/>
        <w:ind w:firstLine="480" w:firstLineChars="200"/>
        <w:rPr>
          <w:rFonts w:ascii="楷体" w:hAnsi="楷体" w:eastAsia="楷体"/>
          <w:bCs/>
          <w:sz w:val="24"/>
        </w:rPr>
      </w:pPr>
      <w:r>
        <w:rPr>
          <w:rFonts w:hint="eastAsia" w:ascii="楷体" w:hAnsi="楷体" w:eastAsia="楷体"/>
          <w:bCs/>
          <w:sz w:val="24"/>
        </w:rPr>
        <w:t>对于需携印、携证照外出的情况，项目公司应至少提前1个工作日向乙方人员提出申请，乙方审核后报甲方审批，甲方终审后向乙方人员发出指令，乙方根据甲方指令执行，重要印鉴以及证照（包括但不限于公章、法人名章、财务专用章、合同专用章、营业执照正副本、不动产权证书、印鉴卡）乙方人员须全程陪同前往并做好台账登记。使用完毕后，项目公司应将该等印鉴、证照及时归还并由现场监管人员存入保管设备，乙方人员对外出用印、用照文件进行影印留存。因办事地点（银行、各政府部门等）特殊要求限制不允许留存影印文件的情况除外。</w:t>
      </w:r>
    </w:p>
    <w:p>
      <w:pPr>
        <w:pStyle w:val="14"/>
        <w:numPr>
          <w:ilvl w:val="255"/>
          <w:numId w:val="0"/>
        </w:numPr>
        <w:tabs>
          <w:tab w:val="left" w:pos="900"/>
        </w:tabs>
        <w:spacing w:before="156" w:beforeLines="50"/>
        <w:ind w:firstLine="482" w:firstLineChars="200"/>
        <w:rPr>
          <w:rFonts w:ascii="楷体" w:hAnsi="楷体" w:eastAsia="楷体"/>
          <w:b/>
          <w:sz w:val="24"/>
        </w:rPr>
      </w:pPr>
      <w:r>
        <w:rPr>
          <w:rFonts w:hint="eastAsia" w:ascii="楷体" w:hAnsi="楷体" w:eastAsia="楷体"/>
          <w:b/>
          <w:sz w:val="24"/>
        </w:rPr>
        <w:t>4.3标的项目资金监管</w:t>
      </w:r>
    </w:p>
    <w:p>
      <w:pPr>
        <w:pStyle w:val="14"/>
        <w:numPr>
          <w:ilvl w:val="255"/>
          <w:numId w:val="0"/>
        </w:numPr>
        <w:tabs>
          <w:tab w:val="left" w:pos="993"/>
        </w:tabs>
        <w:spacing w:before="156" w:beforeLines="50"/>
        <w:ind w:firstLine="480" w:firstLineChars="200"/>
        <w:rPr>
          <w:rFonts w:ascii="楷体" w:hAnsi="楷体" w:eastAsia="楷体"/>
          <w:sz w:val="24"/>
        </w:rPr>
      </w:pPr>
      <w:r>
        <w:rPr>
          <w:rFonts w:hint="eastAsia" w:ascii="楷体" w:hAnsi="楷体" w:eastAsia="楷体"/>
          <w:sz w:val="24"/>
        </w:rPr>
        <w:t>4.3.1监管范围</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项目公司标的项目所有资金（销售回款等）均需纳入全封闭监管范围，包括各银行资金余额、现金、商票、存单、理财等。纳入监管范围内的银行账户包括项目公司因标的项目开立的所有银行账户，包括基本户、一般户、预售资金监管账户、各保证金账户、按揭户、理财账户、外币账户等，以及在监管期限内后续项目公司新开设的所有账户（由于项目公司旗下有多个项目，甲方及乙方对旗下的全部其他账户拥有核查权限，定期（暂定每月）进行查验往来流水明细，项目公司应予配合并见证导出所有账户银行流水，对于有异议的往来予以说明）。</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项目公司应向甲方及乙方提供公司全部已开立银行账户清单，并于本协议生效后根据乙方列出的拟注销账户清单完成相应账户注销手续，并将其余未注销账户按乙方要求修改银行预留印鉴（如需）等功能，在乙方正式进场交接时（即乙方正式驻场之日）将全部账户的网银复核密钥移交乙方委派的现场派驻监管人员管理、未开通网银的账户由甲方通过共管项目公司的印鉴监管账户出款，所移交密钥需确认可达到资金管控要求，即所执密钥双方无法实现单方汇出账户资金；监管期间，项目公司新增开设账户、销户、开通或关闭网上银行/手机银行需取得甲方同意指令后方可实施；未经甲方书面同意，项目公司所有账户不可撤销，不可更换预留印鉴，不可开立其他账户进行资金收付操作；项目公司所有账户均不得开设超级网银、银企直联支付、电话支付、手机支付、通存通兑功能（</w:t>
      </w:r>
      <w:r>
        <w:rPr>
          <w:rFonts w:hint="eastAsia" w:eastAsia="楷体_GB2312"/>
          <w:sz w:val="24"/>
        </w:rPr>
        <w:t>如已开通则需根据甲方要求关闭）</w:t>
      </w:r>
      <w:r>
        <w:rPr>
          <w:rFonts w:hint="eastAsia" w:ascii="楷体" w:hAnsi="楷体" w:eastAsia="楷体"/>
          <w:sz w:val="24"/>
        </w:rPr>
        <w:t>。项目公司需每月5日前向乙方提供所有监管范围内的账户上月银行对账单用于核对资金变动及结余情况。</w:t>
      </w:r>
    </w:p>
    <w:p>
      <w:pPr>
        <w:pStyle w:val="14"/>
        <w:numPr>
          <w:ilvl w:val="255"/>
          <w:numId w:val="0"/>
        </w:numPr>
        <w:tabs>
          <w:tab w:val="left" w:pos="993"/>
        </w:tabs>
        <w:spacing w:before="156" w:beforeLines="50"/>
        <w:ind w:firstLine="480" w:firstLineChars="200"/>
        <w:rPr>
          <w:rFonts w:ascii="楷体" w:hAnsi="楷体" w:eastAsia="楷体"/>
          <w:sz w:val="24"/>
        </w:rPr>
      </w:pPr>
      <w:r>
        <w:rPr>
          <w:rFonts w:hint="eastAsia" w:ascii="楷体" w:hAnsi="楷体" w:eastAsia="楷体"/>
          <w:sz w:val="24"/>
        </w:rPr>
        <w:t>4.3.2资金用途</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项目公司与标的项目相关的资金仅可用于：</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【（1）标的项目开发建设有关的工程款、购料款、工资薪金、税费、银行各项收费款等资金支付；】</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【（2）归还</w:t>
      </w:r>
      <w:r>
        <w:rPr>
          <w:rFonts w:hint="eastAsia" w:ascii="楷体" w:hAnsi="楷体" w:eastAsia="楷体" w:cs="楷体"/>
          <w:sz w:val="24"/>
        </w:rPr>
        <w:t>编号为</w:t>
      </w:r>
      <w:r>
        <w:rPr>
          <w:rFonts w:ascii="楷体" w:hAnsi="楷体" w:eastAsia="楷体" w:cs="楷体"/>
          <w:sz w:val="24"/>
        </w:rPr>
        <w:t>JHXT20</w:t>
      </w:r>
      <w:r>
        <w:rPr>
          <w:rFonts w:hint="eastAsia" w:ascii="楷体" w:hAnsi="楷体" w:eastAsia="楷体" w:cs="楷体"/>
          <w:sz w:val="24"/>
        </w:rPr>
        <w:t>210220046</w:t>
      </w:r>
      <w:r>
        <w:rPr>
          <w:rFonts w:ascii="楷体" w:hAnsi="楷体" w:eastAsia="楷体" w:cs="楷体"/>
          <w:sz w:val="24"/>
        </w:rPr>
        <w:t>-RZ-DKO1</w:t>
      </w:r>
      <w:r>
        <w:rPr>
          <w:rFonts w:hint="eastAsia" w:ascii="楷体" w:hAnsi="楷体" w:eastAsia="楷体" w:cs="楷体"/>
          <w:sz w:val="24"/>
        </w:rPr>
        <w:t>的《信托资金贷款合同》</w:t>
      </w:r>
      <w:r>
        <w:rPr>
          <w:rFonts w:hint="eastAsia" w:ascii="楷体" w:hAnsi="楷体" w:eastAsia="楷体"/>
          <w:sz w:val="24"/>
        </w:rPr>
        <w:t>项下贷款本息及其他应付款项（如有）】</w:t>
      </w:r>
    </w:p>
    <w:p>
      <w:pPr>
        <w:pStyle w:val="14"/>
        <w:numPr>
          <w:ilvl w:val="255"/>
          <w:numId w:val="0"/>
        </w:numPr>
        <w:tabs>
          <w:tab w:val="left" w:pos="993"/>
        </w:tabs>
        <w:spacing w:before="156" w:beforeLines="50"/>
        <w:ind w:firstLine="480" w:firstLineChars="200"/>
        <w:rPr>
          <w:rFonts w:ascii="楷体" w:hAnsi="楷体" w:eastAsia="楷体"/>
          <w:sz w:val="24"/>
        </w:rPr>
      </w:pPr>
      <w:r>
        <w:rPr>
          <w:rFonts w:hint="eastAsia" w:ascii="楷体" w:hAnsi="楷体" w:eastAsia="楷体"/>
          <w:sz w:val="24"/>
        </w:rPr>
        <w:t>4.3.3资金预算</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项目公司应于每月最后5个工作日前向乙方提供下月与标的项目相关的《月度资金使用计划》，内容应包括但不限于资金使用事由、使用金额、资金用途、收款方、支付方式等必要因素，及相关的付款资料、内部审批流程等。乙方人员在资料齐备后5个工作日内，根据标的项目的运行情况、工程进度情况、已签订合同等对《月度资金使用计划》的合理性进行审核，并向甲方出具有关意见，甲方有权对《月度资金使用计划》提出变更或调整的要求。经甲方审批后的《月度资金使用计划》将作为项目公司后续用款的依据，乙方人员留存经甲方审核备案的《月度资金使用计划》及有关文件。</w:t>
      </w:r>
    </w:p>
    <w:p>
      <w:pPr>
        <w:pStyle w:val="14"/>
        <w:numPr>
          <w:ilvl w:val="255"/>
          <w:numId w:val="0"/>
        </w:numPr>
        <w:tabs>
          <w:tab w:val="left" w:pos="993"/>
        </w:tabs>
        <w:spacing w:before="156" w:beforeLines="50"/>
        <w:ind w:firstLine="480" w:firstLineChars="200"/>
        <w:rPr>
          <w:rFonts w:ascii="楷体" w:hAnsi="楷体" w:eastAsia="楷体"/>
          <w:sz w:val="24"/>
        </w:rPr>
      </w:pPr>
      <w:r>
        <w:rPr>
          <w:rFonts w:hint="eastAsia" w:ascii="楷体" w:hAnsi="楷体" w:eastAsia="楷体"/>
          <w:sz w:val="24"/>
        </w:rPr>
        <w:t>4.3.4资金使用</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使用资金时，项目公司应向乙方人员提供用款流程单及款项支持性资料，如合同、付款审核资料、计算依据、事项说明等，在满足信托计划【资金沉淀/监管】要求的前提下：【对于在《月度资金使用计划》内且单笔低于【</w:t>
      </w:r>
      <w:r>
        <w:rPr>
          <w:rFonts w:ascii="楷体" w:hAnsi="楷体" w:eastAsia="楷体"/>
          <w:sz w:val="24"/>
        </w:rPr>
        <w:t>5</w:t>
      </w:r>
      <w:r>
        <w:rPr>
          <w:rFonts w:hint="eastAsia" w:ascii="楷体" w:hAnsi="楷体" w:eastAsia="楷体"/>
          <w:sz w:val="24"/>
        </w:rPr>
        <w:t>】万元（不含）（重复类支付需累计计算）用于标的项目建设的用款申请，乙方人员审核后无异议，可直接办理执行。乙方应对该类用款审核进行台账登记，每周以电子邮件形式发送至甲方指定邮箱(</w:t>
      </w:r>
      <w:r>
        <w:rPr>
          <w:rFonts w:ascii="楷体" w:hAnsi="楷体" w:eastAsia="楷体"/>
          <w:bCs/>
          <w:sz w:val="24"/>
        </w:rPr>
        <w:t>cuiyingchuan@nitic.cn</w:t>
      </w:r>
      <w:r>
        <w:rPr>
          <w:rFonts w:hint="eastAsia" w:ascii="楷体" w:hAnsi="楷体" w:eastAsia="楷体"/>
          <w:sz w:val="24"/>
        </w:rPr>
        <w:t>)。】</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除上述约定外，对于项目公司其余用款均由乙方人员审核后，报送甲方审批，甲方审批同意后方可办理执行，但本合同另有约定的除外。</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款项支出后，乙方人员进行资金使用台账登记，并留存资金使用过程中的审批文件、付款依据等，以备双方核查。</w:t>
      </w:r>
    </w:p>
    <w:p>
      <w:pPr>
        <w:pStyle w:val="14"/>
        <w:numPr>
          <w:ilvl w:val="255"/>
          <w:numId w:val="0"/>
        </w:numPr>
        <w:tabs>
          <w:tab w:val="left" w:pos="900"/>
        </w:tabs>
        <w:spacing w:before="156" w:beforeLines="50"/>
        <w:ind w:firstLine="482" w:firstLineChars="200"/>
        <w:rPr>
          <w:rFonts w:ascii="楷体" w:hAnsi="楷体" w:eastAsia="楷体"/>
          <w:b/>
          <w:sz w:val="24"/>
        </w:rPr>
      </w:pPr>
      <w:r>
        <w:rPr>
          <w:rFonts w:hint="eastAsia" w:ascii="楷体" w:hAnsi="楷体" w:eastAsia="楷体"/>
          <w:b/>
          <w:sz w:val="24"/>
        </w:rPr>
        <w:t>4.4标的项目销售监管</w:t>
      </w:r>
    </w:p>
    <w:p>
      <w:pPr>
        <w:pStyle w:val="14"/>
        <w:numPr>
          <w:ilvl w:val="255"/>
          <w:numId w:val="0"/>
        </w:numPr>
        <w:tabs>
          <w:tab w:val="left" w:pos="993"/>
        </w:tabs>
        <w:spacing w:before="156" w:beforeLines="50"/>
        <w:ind w:firstLine="480" w:firstLineChars="200"/>
        <w:rPr>
          <w:rFonts w:ascii="楷体" w:hAnsi="楷体" w:eastAsia="楷体"/>
          <w:sz w:val="24"/>
        </w:rPr>
      </w:pPr>
      <w:r>
        <w:rPr>
          <w:rFonts w:hint="eastAsia" w:ascii="楷体" w:hAnsi="楷体" w:eastAsia="楷体"/>
          <w:sz w:val="24"/>
        </w:rPr>
        <w:t>4.4.1销售进度监管</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标的项目进入销售期后，项目公司须每周向乙方人员报送标的项目销售周报。乙方人员通过</w:t>
      </w:r>
      <w:r>
        <w:rPr>
          <w:rFonts w:hint="eastAsia" w:ascii="楷体" w:hAnsi="楷体" w:eastAsia="楷体"/>
          <w:sz w:val="24"/>
          <w:lang w:val="en-US" w:eastAsia="zh-CN"/>
        </w:rPr>
        <w:t>项目公司签约</w:t>
      </w:r>
      <w:r>
        <w:rPr>
          <w:rFonts w:hint="eastAsia" w:ascii="楷体" w:hAnsi="楷体" w:eastAsia="楷体"/>
          <w:sz w:val="24"/>
        </w:rPr>
        <w:t>系统及房管局网签系统查询并核对标的项目成交数据（打印相应系统页面留存），核查项目的销售进度，项目公司应充分予以配合并提供必要便利。</w:t>
      </w:r>
    </w:p>
    <w:p>
      <w:pPr>
        <w:pStyle w:val="14"/>
        <w:numPr>
          <w:ilvl w:val="255"/>
          <w:numId w:val="0"/>
        </w:numPr>
        <w:tabs>
          <w:tab w:val="left" w:pos="993"/>
        </w:tabs>
        <w:spacing w:before="156" w:beforeLines="50"/>
        <w:ind w:firstLine="480" w:firstLineChars="200"/>
        <w:rPr>
          <w:rFonts w:ascii="楷体" w:hAnsi="楷体" w:eastAsia="楷体"/>
          <w:sz w:val="24"/>
        </w:rPr>
      </w:pPr>
      <w:r>
        <w:rPr>
          <w:rFonts w:hint="eastAsia" w:ascii="楷体" w:hAnsi="楷体" w:eastAsia="楷体"/>
          <w:sz w:val="24"/>
        </w:rPr>
        <w:t>4.4.2标的项目销售过程监管</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（1）销售回款</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标的项目销售所有的款项，包括定金、诚意金、首付款、银行按揭款等任何形式的销售回款均需划付至甲方确认的监管范围内的账户（即监管账户），不得进入私人账户及坐支。原则上销售回款不得以现金形式收取，特殊情况出现现金销售收款时，项目公司需在2个工作日内全额存至监管账户内。</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乙方人员应每周核对项目公司的内部销售数据，每周核对银行账户回款数据，确保标的项目销售款全部划付至监管账户。如发现销售资金未进入监管账户或现金收款未及时存入监管账户的行为，或出现工抵房等私售行为，或项目公司通过虚报项目建设支出资金套取销售资金，乙方人员应拒绝配合支付或中止用印并立即告知甲方，至项目公司纠正违规行为止。</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标的项目销售回款的使用在符合当地房管部门要求的前提下，项目公司可申请使用预售监管资金，仅限用于：【 1）标的项目开发建设有关的工程款、购料款、工资薪金、税费、银行各项收费款等资金支付；2）归还</w:t>
      </w:r>
      <w:r>
        <w:rPr>
          <w:rFonts w:hint="eastAsia" w:ascii="楷体" w:hAnsi="楷体" w:eastAsia="楷体" w:cs="楷体"/>
          <w:sz w:val="24"/>
        </w:rPr>
        <w:t>编号为</w:t>
      </w:r>
      <w:r>
        <w:rPr>
          <w:rFonts w:ascii="楷体" w:hAnsi="楷体" w:eastAsia="楷体" w:cs="楷体"/>
          <w:sz w:val="24"/>
        </w:rPr>
        <w:t>JHXT20</w:t>
      </w:r>
      <w:r>
        <w:rPr>
          <w:rFonts w:hint="eastAsia" w:ascii="楷体" w:hAnsi="楷体" w:eastAsia="楷体" w:cs="楷体"/>
          <w:sz w:val="24"/>
        </w:rPr>
        <w:t>210220046</w:t>
      </w:r>
      <w:r>
        <w:rPr>
          <w:rFonts w:ascii="楷体" w:hAnsi="楷体" w:eastAsia="楷体" w:cs="楷体"/>
          <w:sz w:val="24"/>
        </w:rPr>
        <w:t>-RZ-DKO1</w:t>
      </w:r>
      <w:r>
        <w:rPr>
          <w:rFonts w:hint="eastAsia" w:ascii="楷体" w:hAnsi="楷体" w:eastAsia="楷体" w:cs="楷体"/>
          <w:sz w:val="24"/>
        </w:rPr>
        <w:t>的《信托资金贷款合同》</w:t>
      </w:r>
      <w:r>
        <w:rPr>
          <w:rFonts w:hint="eastAsia" w:ascii="楷体" w:hAnsi="楷体" w:eastAsia="楷体"/>
          <w:sz w:val="24"/>
        </w:rPr>
        <w:t>项下贷款本息及其他应付款项（如有）】</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（2）乙方人员应每周查询网签的客户明细表，包括房号、客户、总价、首付款、按揭款、累计已收款信息等，并和前期提供的销售情况表核对。</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（3）销售情况核查</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项目公司于每周一（如遇非工作日，则顺延至下一工作日）前将上一周销售情况一览表报送至乙方人员，销售情况一览表包括销售物业的明细、金额、回款计划和资金回笼情况等，同时乙方人员有权要求其提供相关的销售合同、认购协议、POS单、收据或发票等资料以供核查。</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乙方人员应通过包括但不限于审查购房合同中的价格、付款安排、收款账户，以及项目公司开立的按揭账户信息、标的项目网签备案信息等方式对标的项目销售及回款进行监管，并定期对项目公司会计账册、网签数据、销售台账、销售回款周报、POS单、发票或收据底单、银行账户流水等进行比对核查，如出现不一致的情况，项目公司应当向乙方人员出具书面说明及相应的处理措施。</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乙方人员应多渠道调查项目公司是否存在提前认购、收取意向金等非正规销售情况，审查销售价格是否合理，并监控销售资金及时进入监管账户。</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4.4.3标的项目</w:t>
      </w:r>
      <w:r>
        <w:rPr>
          <w:rFonts w:hint="eastAsia" w:ascii="楷体_GB2312" w:hAnsi="华文仿宋" w:eastAsia="楷体_GB2312" w:cs="宋体-18030"/>
          <w:sz w:val="24"/>
        </w:rPr>
        <w:t>每笔销售回款按照【100%】</w:t>
      </w:r>
      <w:r>
        <w:rPr>
          <w:rFonts w:ascii="楷体_GB2312" w:hAnsi="华文仿宋" w:eastAsia="楷体_GB2312" w:cs="宋体-18030"/>
          <w:sz w:val="24"/>
        </w:rPr>
        <w:t>的比例沉淀在</w:t>
      </w:r>
      <w:r>
        <w:rPr>
          <w:rFonts w:hint="eastAsia" w:ascii="楷体_GB2312" w:hAnsi="华文仿宋" w:eastAsia="楷体_GB2312" w:cs="宋体-18030"/>
          <w:sz w:val="24"/>
        </w:rPr>
        <w:t>甲方监管的项目公司一般户，</w:t>
      </w:r>
      <w:r>
        <w:rPr>
          <w:rFonts w:ascii="楷体_GB2312" w:hAnsi="华文仿宋" w:eastAsia="楷体_GB2312" w:cs="宋体-18030"/>
          <w:sz w:val="24"/>
        </w:rPr>
        <w:t>沉淀资金合计达</w:t>
      </w:r>
      <w:r>
        <w:rPr>
          <w:rFonts w:hint="eastAsia" w:ascii="楷体_GB2312" w:hAnsi="华文仿宋" w:eastAsia="楷体_GB2312" w:cs="宋体-18030"/>
          <w:sz w:val="24"/>
        </w:rPr>
        <w:t>【500】</w:t>
      </w:r>
      <w:r>
        <w:rPr>
          <w:rFonts w:ascii="楷体_GB2312" w:hAnsi="华文仿宋" w:eastAsia="楷体_GB2312" w:cs="宋体-18030"/>
          <w:sz w:val="24"/>
        </w:rPr>
        <w:t>万</w:t>
      </w:r>
      <w:r>
        <w:rPr>
          <w:rFonts w:hint="eastAsia" w:ascii="楷体_GB2312" w:hAnsi="华文仿宋" w:eastAsia="楷体_GB2312" w:cs="宋体-18030"/>
          <w:sz w:val="24"/>
        </w:rPr>
        <w:t>元</w:t>
      </w:r>
      <w:r>
        <w:rPr>
          <w:rFonts w:ascii="楷体_GB2312" w:hAnsi="华文仿宋" w:eastAsia="楷体_GB2312" w:cs="宋体-18030"/>
          <w:sz w:val="24"/>
        </w:rPr>
        <w:t>（含）以上</w:t>
      </w:r>
      <w:r>
        <w:rPr>
          <w:rFonts w:hint="eastAsia" w:ascii="楷体_GB2312" w:hAnsi="华文仿宋" w:eastAsia="楷体_GB2312" w:cs="宋体-18030"/>
          <w:sz w:val="24"/>
        </w:rPr>
        <w:t>项目公司可申请使用沉淀资金进行部分或全部提前还款。每月销售回款的不低于60%以保证金形式划至甲方指定账户，当甲方指定账户中的保证金余额不低于500万元（含）时，甲方即有权要求将该部分保证金用于归还信托贷款本息或支付与信托贷款相关的应付款项，项目公司应无条件予以配合。项目各监管账户在扣除对外支出后的其余沉淀资金，亦可用于归还信托贷款本息。</w:t>
      </w:r>
    </w:p>
    <w:p>
      <w:pPr>
        <w:pStyle w:val="14"/>
        <w:numPr>
          <w:ilvl w:val="255"/>
          <w:numId w:val="0"/>
        </w:numPr>
        <w:tabs>
          <w:tab w:val="left" w:pos="900"/>
        </w:tabs>
        <w:spacing w:before="156" w:beforeLines="50"/>
        <w:ind w:firstLine="482" w:firstLineChars="200"/>
        <w:rPr>
          <w:rFonts w:ascii="楷体" w:hAnsi="楷体" w:eastAsia="楷体"/>
          <w:b/>
          <w:sz w:val="24"/>
        </w:rPr>
      </w:pPr>
      <w:r>
        <w:rPr>
          <w:rFonts w:hint="eastAsia" w:ascii="楷体" w:hAnsi="楷体" w:eastAsia="楷体"/>
          <w:b/>
          <w:sz w:val="24"/>
        </w:rPr>
        <w:t>4.</w:t>
      </w:r>
      <w:r>
        <w:rPr>
          <w:rFonts w:ascii="楷体" w:hAnsi="楷体" w:eastAsia="楷体"/>
          <w:b/>
          <w:sz w:val="24"/>
        </w:rPr>
        <w:t>5</w:t>
      </w:r>
      <w:r>
        <w:rPr>
          <w:rFonts w:hint="eastAsia" w:ascii="楷体" w:hAnsi="楷体" w:eastAsia="楷体"/>
          <w:b/>
          <w:sz w:val="24"/>
        </w:rPr>
        <w:t>工程监管</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项目公司应每月向乙方人员提供标的项目上月施工进度、监理月报，乙方人员负责跟踪标的项目施工进度，定期或不定期进行现场勘查，拍照留档，如施工过程中出现滞后或停滞，乙方人员应向甲方汇报。</w:t>
      </w:r>
    </w:p>
    <w:p>
      <w:pPr>
        <w:pStyle w:val="14"/>
        <w:numPr>
          <w:ilvl w:val="255"/>
          <w:numId w:val="0"/>
        </w:numPr>
        <w:tabs>
          <w:tab w:val="left" w:pos="900"/>
        </w:tabs>
        <w:spacing w:before="156" w:beforeLines="50"/>
        <w:ind w:firstLine="482" w:firstLineChars="200"/>
        <w:rPr>
          <w:rFonts w:ascii="楷体" w:hAnsi="楷体" w:eastAsia="楷体"/>
          <w:b/>
          <w:sz w:val="24"/>
        </w:rPr>
      </w:pPr>
      <w:r>
        <w:rPr>
          <w:rFonts w:hint="eastAsia" w:ascii="楷体" w:hAnsi="楷体" w:eastAsia="楷体"/>
          <w:b/>
          <w:sz w:val="24"/>
        </w:rPr>
        <w:t>4.</w:t>
      </w:r>
      <w:r>
        <w:rPr>
          <w:rFonts w:ascii="楷体" w:hAnsi="楷体" w:eastAsia="楷体"/>
          <w:b/>
          <w:sz w:val="24"/>
        </w:rPr>
        <w:t>6</w:t>
      </w:r>
      <w:r>
        <w:rPr>
          <w:rFonts w:hint="eastAsia" w:ascii="楷体" w:hAnsi="楷体" w:eastAsia="楷体"/>
          <w:b/>
          <w:sz w:val="24"/>
        </w:rPr>
        <w:t>监管信息反馈</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项目公司应于每月度结束后10个工作日内向乙方提交截至上月末的所有账户的银行对账单、财务报表（包括但不限于资产负债表、利润表、现金流量表）、工程进度报告和销售情况报告；每一财务年度结束后6个月内向乙方提供审计后的年度财务报表。乙方收到项目公司报送的财务报表后3个工作日内，应将相关资料报送甲方。</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乙方应于每周二下午3点前出具上周的《项目监管周报》（如遇特殊情况以甲方需求为准）并将《项目监管周报》报送至甲方指定电子邮箱【</w:t>
      </w:r>
      <w:r>
        <w:rPr>
          <w:rFonts w:ascii="楷体" w:hAnsi="楷体" w:eastAsia="楷体"/>
          <w:bCs/>
          <w:sz w:val="24"/>
        </w:rPr>
        <w:t>cuiyingchuan@nitic.cn</w:t>
      </w:r>
      <w:r>
        <w:rPr>
          <w:rFonts w:hint="eastAsia" w:ascii="楷体" w:hAnsi="楷体" w:eastAsia="楷体"/>
          <w:sz w:val="24"/>
        </w:rPr>
        <w:t>】，报告主要内容包括：本周用印情况、规证获取的情况、资金收支信息、销售数据统计、工程进度、人事变动、乙方认为存在的问题、其他重要事项或情况等。《项目监管周报》目录见附件二。</w:t>
      </w:r>
    </w:p>
    <w:p>
      <w:pPr>
        <w:pStyle w:val="14"/>
        <w:tabs>
          <w:tab w:val="left" w:pos="993"/>
        </w:tabs>
        <w:spacing w:before="156" w:beforeLines="50"/>
        <w:ind w:firstLine="480"/>
        <w:rPr>
          <w:rFonts w:ascii="楷体" w:hAnsi="楷体" w:eastAsia="楷体"/>
          <w:b/>
          <w:sz w:val="24"/>
        </w:rPr>
      </w:pPr>
      <w:r>
        <w:rPr>
          <w:rFonts w:hint="eastAsia" w:ascii="楷体" w:hAnsi="楷体" w:eastAsia="楷体"/>
          <w:sz w:val="24"/>
        </w:rPr>
        <w:t>乙方应于每月第10个工作日前出具上月《项目监管月报》并报送至甲方指定电子邮箱【</w:t>
      </w:r>
      <w:r>
        <w:rPr>
          <w:rFonts w:ascii="楷体" w:hAnsi="楷体" w:eastAsia="楷体"/>
          <w:bCs/>
          <w:sz w:val="24"/>
        </w:rPr>
        <w:t>cuiyingchuan@nitic.cn</w:t>
      </w:r>
      <w:r>
        <w:rPr>
          <w:rFonts w:hint="eastAsia" w:ascii="楷体" w:hAnsi="楷体" w:eastAsia="楷体"/>
          <w:sz w:val="24"/>
        </w:rPr>
        <w:t>】，报告内容主要包括：银行账户资金情况、资金计划审批及执行情况、财务情况、印鉴、证照、密钥使用情况、销售及回款情况、工程合同签署及执行情况、工程进度情况等。《项目监管月报》目录见附件三。</w:t>
      </w:r>
    </w:p>
    <w:p>
      <w:pPr>
        <w:pStyle w:val="14"/>
        <w:tabs>
          <w:tab w:val="left" w:pos="993"/>
        </w:tabs>
        <w:spacing w:before="156" w:beforeLines="50"/>
        <w:ind w:firstLine="480"/>
        <w:rPr>
          <w:rFonts w:ascii="楷体" w:hAnsi="楷体" w:eastAsia="楷体"/>
          <w:sz w:val="24"/>
        </w:rPr>
      </w:pPr>
      <w:r>
        <w:rPr>
          <w:rFonts w:hint="eastAsia" w:ascii="楷体" w:hAnsi="楷体" w:eastAsia="楷体"/>
          <w:sz w:val="24"/>
        </w:rPr>
        <w:t>乙方如发现或知悉项目公司、本项目发生审批权限中所列各重大事项，以及了解到可能出现异常或乙方认为有必要汇报的各种信息，包括但不限于涉及或可能涉及重大经济纠纷、诉讼、仲裁、行政处罚、监管账户资金被强制执行或依法冻结、破产、歇业、解散、被停业整顿、被吊销营业执照、被撤销工商登记、其他严重影响生产经营、资金偿付能力的情形，应立即向甲方汇报。</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12" w:name="_Toc11283"/>
      <w:bookmarkStart w:id="13" w:name="_Toc73798374"/>
      <w:bookmarkStart w:id="14" w:name="_Toc4395"/>
      <w:r>
        <w:rPr>
          <w:rFonts w:hint="eastAsia" w:ascii="楷体" w:hAnsi="楷体" w:eastAsia="楷体" w:cs="楷体"/>
        </w:rPr>
        <w:t>第</w:t>
      </w:r>
      <w:r>
        <w:rPr>
          <w:rFonts w:ascii="楷体" w:hAnsi="楷体" w:eastAsia="楷体" w:cs="楷体"/>
        </w:rPr>
        <w:t>5</w:t>
      </w:r>
      <w:r>
        <w:rPr>
          <w:rFonts w:hint="eastAsia" w:ascii="楷体" w:hAnsi="楷体" w:eastAsia="楷体" w:cs="楷体"/>
        </w:rPr>
        <w:t>条 当事人权利义务</w:t>
      </w:r>
      <w:bookmarkEnd w:id="12"/>
      <w:bookmarkEnd w:id="13"/>
    </w:p>
    <w:p>
      <w:pPr>
        <w:adjustRightInd w:val="0"/>
        <w:snapToGrid w:val="0"/>
        <w:spacing w:before="156" w:beforeLines="50"/>
        <w:ind w:firstLine="480" w:firstLineChars="200"/>
        <w:jc w:val="left"/>
        <w:rPr>
          <w:rFonts w:ascii="楷体" w:hAnsi="楷体" w:eastAsia="楷体" w:cs="楷体"/>
          <w:sz w:val="24"/>
        </w:rPr>
      </w:pPr>
      <w:bookmarkStart w:id="15" w:name="_Toc22981"/>
      <w:r>
        <w:rPr>
          <w:rFonts w:ascii="楷体" w:hAnsi="楷体" w:eastAsia="楷体" w:cs="楷体"/>
          <w:sz w:val="24"/>
        </w:rPr>
        <w:t>5</w:t>
      </w:r>
      <w:r>
        <w:rPr>
          <w:rFonts w:hint="eastAsia" w:ascii="楷体" w:hAnsi="楷体" w:eastAsia="楷体" w:cs="楷体"/>
          <w:sz w:val="24"/>
        </w:rPr>
        <w:t>.1甲方权利与义务</w:t>
      </w:r>
      <w:bookmarkEnd w:id="15"/>
    </w:p>
    <w:p>
      <w:pPr>
        <w:adjustRightInd w:val="0"/>
        <w:snapToGrid w:val="0"/>
        <w:spacing w:before="156" w:beforeLines="50"/>
        <w:ind w:firstLine="480" w:firstLineChars="200"/>
        <w:jc w:val="left"/>
        <w:rPr>
          <w:rFonts w:ascii="楷体" w:hAnsi="楷体" w:eastAsia="楷体" w:cs="楷体"/>
          <w:sz w:val="24"/>
        </w:rPr>
      </w:pPr>
      <w:bookmarkStart w:id="16" w:name="_Toc10433"/>
      <w:r>
        <w:rPr>
          <w:rFonts w:ascii="楷体" w:hAnsi="楷体" w:eastAsia="楷体" w:cs="楷体"/>
          <w:sz w:val="24"/>
        </w:rPr>
        <w:t>5</w:t>
      </w:r>
      <w:r>
        <w:rPr>
          <w:rFonts w:hint="eastAsia" w:ascii="楷体" w:hAnsi="楷体" w:eastAsia="楷体" w:cs="楷体"/>
          <w:sz w:val="24"/>
        </w:rPr>
        <w:t>.1.1甲方有权向项目公司派驻现场监管人员，并依照本协议约定向乙、乙方查询、检查和监督监管服务工作情况，有权就本协议约定的监管内容向乙、乙方提出任何改进要求。</w:t>
      </w:r>
      <w:bookmarkEnd w:id="16"/>
      <w:r>
        <w:rPr>
          <w:rFonts w:hint="eastAsia" w:ascii="楷体" w:hAnsi="楷体" w:eastAsia="楷体" w:cs="楷体"/>
          <w:sz w:val="24"/>
        </w:rPr>
        <w:t>现场</w:t>
      </w:r>
      <w:r>
        <w:rPr>
          <w:rFonts w:ascii="楷体" w:hAnsi="楷体" w:eastAsia="楷体" w:cs="楷体"/>
          <w:sz w:val="24"/>
        </w:rPr>
        <w:t>监管人员委派及更换等不受项目公司的限制，如甲方更换</w:t>
      </w:r>
      <w:r>
        <w:rPr>
          <w:rFonts w:hint="eastAsia" w:ascii="楷体" w:hAnsi="楷体" w:eastAsia="楷体" w:cs="楷体"/>
          <w:sz w:val="24"/>
        </w:rPr>
        <w:t>现场</w:t>
      </w:r>
      <w:r>
        <w:rPr>
          <w:rFonts w:ascii="楷体" w:hAnsi="楷体" w:eastAsia="楷体" w:cs="楷体"/>
          <w:sz w:val="24"/>
        </w:rPr>
        <w:t>监管人员</w:t>
      </w:r>
      <w:r>
        <w:rPr>
          <w:rFonts w:hint="eastAsia" w:ascii="楷体" w:hAnsi="楷体" w:eastAsia="楷体" w:cs="楷体"/>
          <w:sz w:val="24"/>
        </w:rPr>
        <w:t>的</w:t>
      </w:r>
      <w:r>
        <w:rPr>
          <w:rFonts w:ascii="楷体" w:hAnsi="楷体" w:eastAsia="楷体" w:cs="楷体"/>
          <w:sz w:val="24"/>
        </w:rPr>
        <w:t>，</w:t>
      </w:r>
      <w:r>
        <w:rPr>
          <w:rFonts w:hint="eastAsia" w:ascii="楷体" w:hAnsi="楷体" w:eastAsia="楷体" w:cs="楷体"/>
          <w:sz w:val="24"/>
        </w:rPr>
        <w:t>项目公司</w:t>
      </w:r>
      <w:r>
        <w:rPr>
          <w:rFonts w:ascii="楷体" w:hAnsi="楷体" w:eastAsia="楷体" w:cs="楷体"/>
          <w:sz w:val="24"/>
        </w:rPr>
        <w:t>及其股东均应无条件同意并配合办理相关手续（</w:t>
      </w:r>
      <w:r>
        <w:rPr>
          <w:rFonts w:hint="eastAsia" w:ascii="楷体" w:hAnsi="楷体" w:eastAsia="楷体" w:cs="楷体"/>
          <w:sz w:val="24"/>
        </w:rPr>
        <w:t>如需</w:t>
      </w:r>
      <w:r>
        <w:rPr>
          <w:rFonts w:ascii="楷体" w:hAnsi="楷体" w:eastAsia="楷体" w:cs="楷体"/>
          <w:sz w:val="24"/>
        </w:rPr>
        <w:t>）</w:t>
      </w:r>
      <w:r>
        <w:rPr>
          <w:rFonts w:hint="eastAsia" w:ascii="楷体" w:hAnsi="楷体" w:eastAsia="楷体" w:cs="楷体"/>
          <w:sz w:val="24"/>
        </w:rPr>
        <w:t>。</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5</w:t>
      </w:r>
      <w:r>
        <w:rPr>
          <w:rFonts w:hint="eastAsia" w:ascii="楷体" w:hAnsi="楷体" w:eastAsia="楷体" w:cs="楷体"/>
          <w:sz w:val="24"/>
        </w:rPr>
        <w:t>.1.2甲方有权对乙方派遣的现场驻场人员提出相关任职资格要求，包括但不限于：乙方派遣的现场驻场人员必须为乙方公司长期正式员工（非临时员工、非临时招聘员工），具有房地产项目现场监管工作经验，具有财务或法律相关知识经验等。甲方有权对乙方服务质量进行定期或不定期考核，乙方应根据甲方要求及时整改，必要的签署补充协议。</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5</w:t>
      </w:r>
      <w:r>
        <w:rPr>
          <w:rFonts w:hint="eastAsia" w:ascii="楷体" w:hAnsi="楷体" w:eastAsia="楷体" w:cs="楷体"/>
          <w:sz w:val="24"/>
        </w:rPr>
        <w:t>.1.3项目公司违反所签订各项协议约定或出现对【《信托贷款合同》】项下债权安全有影响的重大事项（包括但不限于上述【《信托贷款合同》】及其补充协议约定的事项）的，甲方</w:t>
      </w:r>
      <w:r>
        <w:rPr>
          <w:rFonts w:ascii="楷体" w:hAnsi="楷体" w:eastAsia="楷体" w:cs="楷体"/>
          <w:sz w:val="24"/>
        </w:rPr>
        <w:t>有</w:t>
      </w:r>
      <w:r>
        <w:rPr>
          <w:rFonts w:hint="eastAsia" w:ascii="楷体" w:hAnsi="楷体" w:eastAsia="楷体" w:cs="楷体"/>
          <w:sz w:val="24"/>
        </w:rPr>
        <w:t>权根据监管获取的实际情况</w:t>
      </w:r>
      <w:r>
        <w:rPr>
          <w:rFonts w:ascii="楷体" w:hAnsi="楷体" w:eastAsia="楷体" w:cs="楷体"/>
          <w:sz w:val="24"/>
        </w:rPr>
        <w:t>及</w:t>
      </w:r>
      <w:r>
        <w:rPr>
          <w:rFonts w:hint="eastAsia" w:ascii="楷体" w:hAnsi="楷体" w:eastAsia="楷体" w:cs="楷体"/>
          <w:sz w:val="24"/>
        </w:rPr>
        <w:t>相关</w:t>
      </w:r>
      <w:r>
        <w:rPr>
          <w:rFonts w:ascii="楷体" w:hAnsi="楷体" w:eastAsia="楷体" w:cs="楷体"/>
          <w:sz w:val="24"/>
        </w:rPr>
        <w:t>协议的约定暂停用款审批、宣布债权提前到期并收回全部或部分</w:t>
      </w:r>
      <w:r>
        <w:rPr>
          <w:rFonts w:hint="eastAsia" w:ascii="楷体" w:hAnsi="楷体" w:eastAsia="楷体" w:cs="楷体"/>
          <w:sz w:val="24"/>
        </w:rPr>
        <w:t>债权</w:t>
      </w:r>
      <w:r>
        <w:rPr>
          <w:rFonts w:ascii="楷体" w:hAnsi="楷体" w:eastAsia="楷体" w:cs="楷体"/>
          <w:sz w:val="24"/>
        </w:rPr>
        <w:t>。</w:t>
      </w:r>
    </w:p>
    <w:p>
      <w:pPr>
        <w:adjustRightInd w:val="0"/>
        <w:snapToGrid w:val="0"/>
        <w:spacing w:before="156" w:beforeLines="50"/>
        <w:ind w:firstLine="480" w:firstLineChars="200"/>
        <w:jc w:val="left"/>
        <w:rPr>
          <w:rFonts w:ascii="楷体" w:hAnsi="楷体" w:eastAsia="楷体" w:cs="楷体"/>
          <w:sz w:val="24"/>
        </w:rPr>
      </w:pPr>
      <w:bookmarkStart w:id="17" w:name="_Toc22977"/>
      <w:r>
        <w:rPr>
          <w:rFonts w:hint="eastAsia" w:ascii="楷体" w:hAnsi="楷体" w:eastAsia="楷体" w:cs="楷体"/>
          <w:sz w:val="24"/>
        </w:rPr>
        <w:t>5.1.4甲方应为乙方履行本协议约定的各项监督职责提供必要的便利和支持。</w:t>
      </w:r>
      <w:bookmarkEnd w:id="17"/>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5</w:t>
      </w:r>
      <w:r>
        <w:rPr>
          <w:rFonts w:hint="eastAsia" w:ascii="楷体" w:hAnsi="楷体" w:eastAsia="楷体" w:cs="楷体"/>
          <w:sz w:val="24"/>
        </w:rPr>
        <w:t>.1.5甲方应按本协议的约定按时向乙方支付监管费用。</w:t>
      </w:r>
    </w:p>
    <w:p>
      <w:pPr>
        <w:adjustRightInd w:val="0"/>
        <w:snapToGrid w:val="0"/>
        <w:spacing w:before="156" w:beforeLines="50"/>
        <w:ind w:firstLine="480" w:firstLineChars="200"/>
        <w:jc w:val="left"/>
        <w:rPr>
          <w:rFonts w:ascii="楷体" w:hAnsi="楷体" w:eastAsia="楷体" w:cs="楷体"/>
          <w:sz w:val="24"/>
        </w:rPr>
      </w:pPr>
    </w:p>
    <w:p>
      <w:pPr>
        <w:adjustRightInd w:val="0"/>
        <w:snapToGrid w:val="0"/>
        <w:spacing w:before="156" w:beforeLines="50"/>
        <w:ind w:firstLine="480" w:firstLineChars="200"/>
        <w:jc w:val="left"/>
        <w:rPr>
          <w:rFonts w:ascii="楷体" w:hAnsi="楷体" w:eastAsia="楷体" w:cs="楷体"/>
          <w:sz w:val="24"/>
        </w:rPr>
      </w:pPr>
      <w:bookmarkStart w:id="18" w:name="_Toc2372"/>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乙方权利与义务</w:t>
      </w:r>
      <w:bookmarkEnd w:id="18"/>
    </w:p>
    <w:p>
      <w:pPr>
        <w:adjustRightInd w:val="0"/>
        <w:snapToGrid w:val="0"/>
        <w:spacing w:before="156" w:beforeLines="50"/>
        <w:ind w:firstLine="480" w:firstLineChars="200"/>
        <w:jc w:val="left"/>
        <w:rPr>
          <w:rFonts w:ascii="楷体" w:hAnsi="楷体" w:eastAsia="楷体" w:cs="楷体"/>
          <w:sz w:val="24"/>
        </w:rPr>
      </w:pPr>
      <w:bookmarkStart w:id="19" w:name="_Toc19675"/>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.1乙方应在每次交接后及时向甲方提供印鉴证照的交接确认单，并向甲方提供交接物品现场录音、录像等影像材料。</w:t>
      </w:r>
      <w:bookmarkEnd w:id="19"/>
    </w:p>
    <w:p>
      <w:pPr>
        <w:adjustRightInd w:val="0"/>
        <w:snapToGrid w:val="0"/>
        <w:spacing w:before="156" w:beforeLines="50"/>
        <w:ind w:firstLine="480" w:firstLineChars="200"/>
        <w:jc w:val="left"/>
        <w:rPr>
          <w:rFonts w:ascii="楷体" w:hAnsi="楷体" w:eastAsia="楷体" w:cs="楷体"/>
          <w:sz w:val="24"/>
        </w:rPr>
      </w:pPr>
      <w:bookmarkStart w:id="20" w:name="_Toc29735"/>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.2为保障本协议履行的可行性，乙方有权利了解乙方正式驻场之日之前的甲方、项目公司等与监管服务内容有关且其为开展本协议约定的监管工作必须知晓的相关情况、签署的相关协议等。</w:t>
      </w:r>
      <w:bookmarkEnd w:id="20"/>
    </w:p>
    <w:p>
      <w:pPr>
        <w:adjustRightInd w:val="0"/>
        <w:snapToGrid w:val="0"/>
        <w:spacing w:before="156" w:beforeLines="50"/>
        <w:ind w:firstLine="480" w:firstLineChars="200"/>
        <w:jc w:val="left"/>
        <w:rPr>
          <w:rFonts w:ascii="楷体" w:hAnsi="楷体" w:eastAsia="楷体" w:cs="楷体"/>
          <w:sz w:val="24"/>
        </w:rPr>
      </w:pPr>
      <w:bookmarkStart w:id="21" w:name="_Toc15295"/>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.3乙方有权根据本协议对项目公司印鉴、证照及标的项目开发建设等情况进行监管。</w:t>
      </w:r>
      <w:bookmarkEnd w:id="21"/>
    </w:p>
    <w:p>
      <w:pPr>
        <w:adjustRightInd w:val="0"/>
        <w:snapToGrid w:val="0"/>
        <w:spacing w:before="156" w:beforeLines="50"/>
        <w:ind w:firstLine="480" w:firstLineChars="200"/>
        <w:jc w:val="left"/>
        <w:rPr>
          <w:rFonts w:ascii="楷体" w:hAnsi="楷体" w:eastAsia="楷体" w:cs="楷体"/>
          <w:sz w:val="24"/>
        </w:rPr>
      </w:pPr>
      <w:bookmarkStart w:id="22" w:name="_Toc12655"/>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.4项目公司向乙方提供的资料、有关问题等，乙方有权进行核对或查问，同时应将此情况与可能产生的影响及时书面通知甲方。</w:t>
      </w:r>
      <w:bookmarkEnd w:id="22"/>
    </w:p>
    <w:p>
      <w:pPr>
        <w:adjustRightInd w:val="0"/>
        <w:snapToGrid w:val="0"/>
        <w:spacing w:before="156" w:beforeLines="50"/>
        <w:ind w:firstLine="480" w:firstLineChars="200"/>
        <w:jc w:val="left"/>
        <w:rPr>
          <w:rFonts w:ascii="楷体" w:hAnsi="楷体" w:eastAsia="楷体" w:cs="楷体"/>
          <w:sz w:val="24"/>
        </w:rPr>
      </w:pPr>
      <w:bookmarkStart w:id="23" w:name="_Toc7200"/>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.5根据甲方授权，乙方有权查看项目公司财务账簿及原始单据、销售台账、销售合同、网签信息、发票收据等相关资料；有权查看项目现场。</w:t>
      </w:r>
      <w:bookmarkEnd w:id="23"/>
    </w:p>
    <w:p>
      <w:pPr>
        <w:adjustRightInd w:val="0"/>
        <w:snapToGrid w:val="0"/>
        <w:spacing w:before="156" w:beforeLines="50"/>
        <w:ind w:firstLine="480" w:firstLineChars="200"/>
        <w:jc w:val="left"/>
        <w:rPr>
          <w:rFonts w:ascii="楷体" w:hAnsi="楷体" w:eastAsia="楷体" w:cs="楷体"/>
          <w:sz w:val="24"/>
        </w:rPr>
      </w:pPr>
      <w:bookmarkStart w:id="24" w:name="_Toc9533"/>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6乙方有义务积极配合项目公司的正常合法工作，并对其提出的申请及时进行处理，不得无故拖延；有义务积极配合甲方、完成项目公司交易文件约定重要事项的处理，如土地使用权抵押、在建工程抵押、预售解押等。如因临时需要乙方监管人员加班且已提前沟通，乙方监管人员应予以配合。</w:t>
      </w:r>
      <w:bookmarkEnd w:id="24"/>
    </w:p>
    <w:p>
      <w:pPr>
        <w:adjustRightInd w:val="0"/>
        <w:snapToGrid w:val="0"/>
        <w:spacing w:before="156" w:beforeLines="50"/>
        <w:ind w:firstLine="480" w:firstLineChars="200"/>
        <w:jc w:val="left"/>
        <w:rPr>
          <w:rFonts w:ascii="楷体" w:hAnsi="楷体" w:eastAsia="楷体" w:cs="楷体"/>
          <w:sz w:val="24"/>
        </w:rPr>
      </w:pPr>
      <w:bookmarkStart w:id="25" w:name="_Toc26890"/>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.7乙方在监管服务过程中，获取的关于项目公司及其标的项目的任何资料或者商业秘密，在得到甲方及项目公司书面同意前，需对其他任何第三方进行保密。</w:t>
      </w:r>
      <w:bookmarkEnd w:id="25"/>
    </w:p>
    <w:p>
      <w:pPr>
        <w:adjustRightInd w:val="0"/>
        <w:snapToGrid w:val="0"/>
        <w:spacing w:before="156" w:beforeLines="50"/>
        <w:ind w:firstLine="480" w:firstLineChars="200"/>
        <w:jc w:val="left"/>
        <w:rPr>
          <w:rFonts w:ascii="楷体" w:hAnsi="楷体" w:eastAsia="楷体" w:cs="楷体"/>
          <w:sz w:val="24"/>
        </w:rPr>
      </w:pPr>
      <w:bookmarkStart w:id="26" w:name="_Toc4136"/>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.8乙方应亲自履行本协议项下监管义务，未经甲方的同意，或非因情况紧急为了甲方的利益之情形，乙方不得将其本协议项下的监管义务转与任何第三方。</w:t>
      </w:r>
      <w:bookmarkEnd w:id="26"/>
    </w:p>
    <w:p>
      <w:pPr>
        <w:adjustRightInd w:val="0"/>
        <w:snapToGrid w:val="0"/>
        <w:spacing w:before="156" w:beforeLines="50"/>
        <w:ind w:firstLine="480" w:firstLineChars="200"/>
        <w:jc w:val="left"/>
        <w:rPr>
          <w:rFonts w:ascii="楷体" w:hAnsi="楷体" w:eastAsia="楷体" w:cs="楷体"/>
          <w:sz w:val="24"/>
        </w:rPr>
      </w:pPr>
      <w:bookmarkStart w:id="27" w:name="_Toc21355"/>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.9乙方有权代表甲方与项目公司共同管理项目公司印鉴、证照，并按本协议使用印鉴、证照。</w:t>
      </w:r>
      <w:bookmarkEnd w:id="27"/>
    </w:p>
    <w:p>
      <w:pPr>
        <w:adjustRightInd w:val="0"/>
        <w:snapToGrid w:val="0"/>
        <w:spacing w:before="156" w:beforeLines="50"/>
        <w:ind w:firstLine="480" w:firstLineChars="200"/>
        <w:jc w:val="left"/>
        <w:rPr>
          <w:rFonts w:ascii="楷体" w:hAnsi="楷体" w:eastAsia="楷体" w:cs="楷体"/>
          <w:sz w:val="24"/>
        </w:rPr>
      </w:pPr>
      <w:bookmarkStart w:id="28" w:name="_Toc28474"/>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.10乙方有权按照本协议约定对项目公司全部账户进行监管，并有权拒绝项目公司不符合约定或甲方要求的支付要求。</w:t>
      </w:r>
      <w:bookmarkEnd w:id="28"/>
    </w:p>
    <w:p>
      <w:pPr>
        <w:adjustRightInd w:val="0"/>
        <w:snapToGrid w:val="0"/>
        <w:spacing w:before="156" w:beforeLines="50"/>
        <w:ind w:firstLine="480" w:firstLineChars="200"/>
        <w:jc w:val="left"/>
        <w:rPr>
          <w:rFonts w:ascii="楷体" w:hAnsi="楷体" w:eastAsia="楷体" w:cs="楷体"/>
          <w:sz w:val="24"/>
        </w:rPr>
      </w:pPr>
      <w:bookmarkStart w:id="29" w:name="_Toc31924"/>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.11乙方有权对项目公司全部账户中的资金使用按本协议约定进行审核，并对项目公司提供的资金使用相关的证明资料进行审查并向甲方报告。</w:t>
      </w:r>
      <w:bookmarkEnd w:id="29"/>
    </w:p>
    <w:p>
      <w:pPr>
        <w:adjustRightInd w:val="0"/>
        <w:snapToGrid w:val="0"/>
        <w:spacing w:before="156" w:beforeLines="50"/>
        <w:ind w:firstLine="480" w:firstLineChars="200"/>
        <w:jc w:val="left"/>
        <w:rPr>
          <w:rFonts w:ascii="楷体" w:hAnsi="楷体" w:eastAsia="楷体" w:cs="楷体"/>
          <w:sz w:val="24"/>
        </w:rPr>
      </w:pPr>
      <w:bookmarkStart w:id="30" w:name="_Toc15492"/>
      <w:r>
        <w:rPr>
          <w:rFonts w:ascii="楷体" w:hAnsi="楷体" w:eastAsia="楷体" w:cs="楷体"/>
          <w:sz w:val="24"/>
        </w:rPr>
        <w:t>5</w:t>
      </w:r>
      <w:r>
        <w:rPr>
          <w:rFonts w:hint="eastAsia" w:ascii="楷体" w:hAnsi="楷体" w:eastAsia="楷体" w:cs="楷体"/>
          <w:sz w:val="24"/>
        </w:rPr>
        <w:t>.</w:t>
      </w:r>
      <w:r>
        <w:rPr>
          <w:rFonts w:ascii="楷体" w:hAnsi="楷体" w:eastAsia="楷体" w:cs="楷体"/>
          <w:sz w:val="24"/>
        </w:rPr>
        <w:t>2</w:t>
      </w:r>
      <w:r>
        <w:rPr>
          <w:rFonts w:hint="eastAsia" w:ascii="楷体" w:hAnsi="楷体" w:eastAsia="楷体" w:cs="楷体"/>
          <w:sz w:val="24"/>
        </w:rPr>
        <w:t>.12乙方应按约定向甲方出具《项目监管周报》和月度项目监管服务报告。</w:t>
      </w:r>
      <w:bookmarkEnd w:id="14"/>
      <w:bookmarkEnd w:id="30"/>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31" w:name="_Toc25482"/>
      <w:bookmarkStart w:id="32" w:name="_Toc9524"/>
      <w:bookmarkStart w:id="33" w:name="_Toc73798375"/>
      <w:r>
        <w:rPr>
          <w:rFonts w:hint="eastAsia" w:ascii="楷体" w:hAnsi="楷体" w:eastAsia="楷体" w:cs="楷体"/>
        </w:rPr>
        <w:t>第</w:t>
      </w:r>
      <w:r>
        <w:rPr>
          <w:rFonts w:ascii="楷体" w:hAnsi="楷体" w:eastAsia="楷体" w:cs="楷体"/>
        </w:rPr>
        <w:t>6</w:t>
      </w:r>
      <w:r>
        <w:rPr>
          <w:rFonts w:hint="eastAsia" w:ascii="楷体" w:hAnsi="楷体" w:eastAsia="楷体" w:cs="楷体"/>
        </w:rPr>
        <w:t>条 服务费及支付方式</w:t>
      </w:r>
      <w:bookmarkEnd w:id="31"/>
      <w:bookmarkEnd w:id="32"/>
      <w:bookmarkEnd w:id="33"/>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6</w:t>
      </w:r>
      <w:r>
        <w:rPr>
          <w:rFonts w:hint="eastAsia" w:ascii="楷体" w:hAnsi="楷体" w:eastAsia="楷体" w:cs="楷体"/>
          <w:sz w:val="24"/>
        </w:rPr>
        <w:t>.1 乙方在本协议项下提供审核/监管服务应收取的服务费用由甲方承担。任何情况下，本协议项下甲方与乙方之间的委托关系不因监管服务费的支付方受到影响，乙方由甲方委托聘请并向甲方负责。</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6</w:t>
      </w:r>
      <w:r>
        <w:rPr>
          <w:rFonts w:hint="eastAsia" w:ascii="楷体" w:hAnsi="楷体" w:eastAsia="楷体" w:cs="楷体"/>
          <w:sz w:val="24"/>
        </w:rPr>
        <w:t>.2 服务期限：根据公开招标文件，本合同下规定的服务期限为六个月，服务期起始日为乙方接到甲方书面通知进场之日。六个月期满，若甲方仍有项目现场监管需求的，可续签协议，直至甲方向乙方发出书面退场通知且乙方完成退场工作交接之日。相关收费标准参照本合同约定。</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6</w:t>
      </w:r>
      <w:r>
        <w:rPr>
          <w:rFonts w:hint="eastAsia" w:ascii="楷体" w:hAnsi="楷体" w:eastAsia="楷体" w:cs="楷体"/>
          <w:sz w:val="24"/>
        </w:rPr>
        <w:t>.3监管服务费金额和支付方式为：</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6</w:t>
      </w:r>
      <w:r>
        <w:rPr>
          <w:rFonts w:hint="eastAsia" w:ascii="楷体" w:hAnsi="楷体" w:eastAsia="楷体" w:cs="楷体"/>
          <w:sz w:val="24"/>
        </w:rPr>
        <w:t>.3.1监管服务费标准</w:t>
      </w:r>
      <w:r>
        <w:rPr>
          <w:rFonts w:hint="eastAsia" w:ascii="Times New Roman" w:hAnsi="Times New Roman" w:eastAsia="楷体_GB2312"/>
          <w:sz w:val="24"/>
        </w:rPr>
        <w:t>为【5</w:t>
      </w:r>
      <w:r>
        <w:rPr>
          <w:rFonts w:ascii="Times New Roman" w:hAnsi="Times New Roman" w:eastAsia="楷体_GB2312"/>
          <w:sz w:val="24"/>
        </w:rPr>
        <w:t>50000</w:t>
      </w:r>
      <w:r>
        <w:rPr>
          <w:rFonts w:hint="eastAsia" w:ascii="Times New Roman" w:hAnsi="Times New Roman" w:eastAsia="楷体_GB2312"/>
          <w:sz w:val="24"/>
        </w:rPr>
        <w:t>.00</w:t>
      </w:r>
      <w:r>
        <w:rPr>
          <w:rFonts w:ascii="楷体" w:hAnsi="楷体" w:eastAsia="楷体" w:cs="楷体"/>
          <w:sz w:val="24"/>
        </w:rPr>
        <w:t xml:space="preserve"> </w:t>
      </w:r>
      <w:r>
        <w:rPr>
          <w:rFonts w:hint="eastAsia" w:ascii="Times New Roman" w:hAnsi="Times New Roman" w:eastAsia="楷体_GB2312"/>
          <w:sz w:val="24"/>
        </w:rPr>
        <w:t>】元</w:t>
      </w:r>
      <w:r>
        <w:rPr>
          <w:rFonts w:ascii="Times New Roman" w:hAnsi="Times New Roman" w:eastAsia="楷体_GB2312"/>
          <w:sz w:val="24"/>
        </w:rPr>
        <w:t>/</w:t>
      </w:r>
      <w:r>
        <w:rPr>
          <w:rFonts w:hint="eastAsia" w:ascii="Times New Roman" w:hAnsi="Times New Roman" w:eastAsia="楷体_GB2312"/>
          <w:sz w:val="24"/>
        </w:rPr>
        <w:t>年（大写：【 伍拾伍万】元整</w:t>
      </w:r>
      <w:r>
        <w:rPr>
          <w:rFonts w:ascii="Times New Roman" w:hAnsi="Times New Roman" w:eastAsia="楷体_GB2312"/>
          <w:sz w:val="24"/>
        </w:rPr>
        <w:t>/</w:t>
      </w:r>
      <w:r>
        <w:rPr>
          <w:rFonts w:hint="eastAsia" w:ascii="Times New Roman" w:hAnsi="Times New Roman" w:eastAsia="楷体_GB2312"/>
          <w:sz w:val="24"/>
        </w:rPr>
        <w:t>年），折合每月的监管服务费用【</w:t>
      </w:r>
      <w:r>
        <w:rPr>
          <w:rFonts w:ascii="Times New Roman" w:hAnsi="Times New Roman" w:eastAsia="楷体_GB2312"/>
          <w:sz w:val="24"/>
        </w:rPr>
        <w:t xml:space="preserve"> 45900</w:t>
      </w:r>
      <w:r>
        <w:rPr>
          <w:rFonts w:hint="eastAsia" w:ascii="Times New Roman" w:hAnsi="Times New Roman" w:eastAsia="楷体_GB2312"/>
          <w:sz w:val="24"/>
        </w:rPr>
        <w:t>.00】元</w:t>
      </w:r>
      <w:r>
        <w:rPr>
          <w:rFonts w:ascii="Times New Roman" w:hAnsi="Times New Roman" w:eastAsia="楷体_GB2312"/>
          <w:sz w:val="24"/>
        </w:rPr>
        <w:t>/</w:t>
      </w:r>
      <w:r>
        <w:rPr>
          <w:rFonts w:hint="eastAsia" w:ascii="Times New Roman" w:hAnsi="Times New Roman" w:eastAsia="楷体_GB2312"/>
          <w:sz w:val="24"/>
        </w:rPr>
        <w:t>月（大写：【肆万伍仟玖佰 】元整</w:t>
      </w:r>
      <w:r>
        <w:rPr>
          <w:rFonts w:ascii="Times New Roman" w:hAnsi="Times New Roman" w:eastAsia="楷体_GB2312"/>
          <w:sz w:val="24"/>
        </w:rPr>
        <w:t>/</w:t>
      </w:r>
      <w:r>
        <w:rPr>
          <w:rFonts w:hint="eastAsia" w:ascii="Times New Roman" w:hAnsi="Times New Roman" w:eastAsia="楷体_GB2312"/>
          <w:sz w:val="24"/>
        </w:rPr>
        <w:t>月），折合每日的监管服务费用【</w:t>
      </w:r>
      <w:r>
        <w:rPr>
          <w:rFonts w:ascii="Times New Roman" w:hAnsi="Times New Roman" w:eastAsia="楷体_GB2312"/>
          <w:sz w:val="24"/>
        </w:rPr>
        <w:t>1507</w:t>
      </w:r>
      <w:r>
        <w:rPr>
          <w:rFonts w:hint="eastAsia" w:ascii="Times New Roman" w:hAnsi="Times New Roman" w:eastAsia="楷体_GB2312"/>
          <w:sz w:val="24"/>
        </w:rPr>
        <w:t>.00】元</w:t>
      </w:r>
      <w:r>
        <w:rPr>
          <w:rFonts w:ascii="Times New Roman" w:hAnsi="Times New Roman" w:eastAsia="楷体_GB2312"/>
          <w:sz w:val="24"/>
        </w:rPr>
        <w:t>/</w:t>
      </w:r>
      <w:r>
        <w:rPr>
          <w:rFonts w:hint="eastAsia" w:ascii="Times New Roman" w:hAnsi="Times New Roman" w:eastAsia="楷体_GB2312"/>
          <w:sz w:val="24"/>
        </w:rPr>
        <w:t>日（大写：【</w:t>
      </w:r>
      <w:r>
        <w:rPr>
          <w:rFonts w:ascii="Times New Roman" w:hAnsi="Times New Roman" w:eastAsia="楷体_GB2312"/>
          <w:sz w:val="24"/>
        </w:rPr>
        <w:t xml:space="preserve"> </w:t>
      </w:r>
      <w:r>
        <w:rPr>
          <w:rFonts w:hint="eastAsia" w:ascii="Times New Roman" w:hAnsi="Times New Roman" w:eastAsia="楷体_GB2312"/>
          <w:sz w:val="24"/>
        </w:rPr>
        <w:t>壹仟伍佰零柒】元整</w:t>
      </w:r>
      <w:r>
        <w:rPr>
          <w:rFonts w:ascii="Times New Roman" w:hAnsi="Times New Roman" w:eastAsia="楷体_GB2312"/>
          <w:sz w:val="24"/>
        </w:rPr>
        <w:t>/</w:t>
      </w:r>
      <w:r>
        <w:rPr>
          <w:rFonts w:hint="eastAsia" w:ascii="Times New Roman" w:hAnsi="Times New Roman" w:eastAsia="楷体_GB2312"/>
          <w:sz w:val="24"/>
        </w:rPr>
        <w:t>日）。上述监管服务费均为含税价格。</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6</w:t>
      </w:r>
      <w:r>
        <w:rPr>
          <w:rFonts w:hint="eastAsia" w:ascii="楷体" w:hAnsi="楷体" w:eastAsia="楷体" w:cs="楷体"/>
          <w:sz w:val="24"/>
        </w:rPr>
        <w:t>.3.2监管服务费自【乙方进场后每自然季度末月</w:t>
      </w:r>
      <w:r>
        <w:rPr>
          <w:rFonts w:ascii="楷体" w:hAnsi="楷体" w:eastAsia="楷体"/>
          <w:sz w:val="24"/>
        </w:rPr>
        <w:t>20</w:t>
      </w:r>
      <w:r>
        <w:rPr>
          <w:rFonts w:hint="eastAsia" w:ascii="楷体" w:hAnsi="楷体" w:eastAsia="楷体"/>
          <w:sz w:val="24"/>
        </w:rPr>
        <w:t>日后</w:t>
      </w:r>
      <w:r>
        <w:rPr>
          <w:rFonts w:ascii="楷体" w:hAnsi="楷体" w:eastAsia="楷体"/>
          <w:sz w:val="24"/>
        </w:rPr>
        <w:t>1</w:t>
      </w:r>
      <w:r>
        <w:rPr>
          <w:rFonts w:hint="eastAsia" w:ascii="楷体" w:hAnsi="楷体" w:eastAsia="楷体" w:cs="楷体"/>
          <w:sz w:val="24"/>
        </w:rPr>
        <w:t>0个工作日内】支付，最后一期监管服务费在本</w:t>
      </w:r>
      <w:r>
        <w:rPr>
          <w:rFonts w:hint="eastAsia" w:ascii="Times New Roman" w:hAnsi="Times New Roman" w:eastAsia="楷体_GB2312"/>
          <w:sz w:val="24"/>
        </w:rPr>
        <w:t>协议终止后</w:t>
      </w:r>
      <w:r>
        <w:rPr>
          <w:rFonts w:ascii="Times New Roman" w:hAnsi="Times New Roman" w:eastAsia="楷体_GB2312"/>
          <w:sz w:val="24"/>
        </w:rPr>
        <w:t>10</w:t>
      </w:r>
      <w:r>
        <w:rPr>
          <w:rFonts w:hint="eastAsia" w:ascii="Times New Roman" w:hAnsi="Times New Roman" w:eastAsia="楷体_GB2312"/>
          <w:sz w:val="24"/>
        </w:rPr>
        <w:t>个工作日内支付。</w:t>
      </w:r>
      <w:r>
        <w:rPr>
          <w:rFonts w:hint="eastAsia" w:ascii="楷体" w:hAnsi="楷体" w:eastAsia="楷体"/>
          <w:sz w:val="24"/>
        </w:rPr>
        <w:t>每期监管服务费</w:t>
      </w:r>
      <w:r>
        <w:rPr>
          <w:rFonts w:ascii="楷体" w:hAnsi="楷体" w:eastAsia="楷体"/>
          <w:sz w:val="24"/>
        </w:rPr>
        <w:t>=</w:t>
      </w:r>
      <w:r>
        <w:rPr>
          <w:rFonts w:hint="eastAsia" w:ascii="楷体" w:hAnsi="楷体" w:eastAsia="楷体"/>
          <w:sz w:val="24"/>
        </w:rPr>
        <w:t>折合每日的监管服务费×该结算期间的实际监管天数（算头不算尾）。首期监管服务费结算期间自乙方接到甲方通知进场之日（含）起至进场后第一个自然季度末月</w:t>
      </w:r>
      <w:r>
        <w:rPr>
          <w:rFonts w:ascii="楷体" w:hAnsi="楷体" w:eastAsia="楷体"/>
          <w:sz w:val="24"/>
        </w:rPr>
        <w:t>20</w:t>
      </w:r>
      <w:r>
        <w:rPr>
          <w:rFonts w:hint="eastAsia" w:ascii="楷体" w:hAnsi="楷体" w:eastAsia="楷体"/>
          <w:sz w:val="24"/>
        </w:rPr>
        <w:t>日（不含）止；最后一期监管服务费结算期间自甲方与项目公司签署的《</w:t>
      </w:r>
      <w:r>
        <w:rPr>
          <w:rFonts w:hint="eastAsia" w:ascii="楷体" w:hAnsi="楷体" w:eastAsia="楷体" w:cs="楷体"/>
          <w:sz w:val="24"/>
        </w:rPr>
        <w:t>信托贷款合同</w:t>
      </w:r>
      <w:r>
        <w:rPr>
          <w:rFonts w:hint="eastAsia" w:ascii="楷体" w:hAnsi="楷体" w:eastAsia="楷体"/>
          <w:sz w:val="24"/>
        </w:rPr>
        <w:t>》履行完毕前一个自然季度末月</w:t>
      </w:r>
      <w:r>
        <w:rPr>
          <w:rFonts w:ascii="楷体" w:hAnsi="楷体" w:eastAsia="楷体"/>
          <w:sz w:val="24"/>
        </w:rPr>
        <w:t>20</w:t>
      </w:r>
      <w:r>
        <w:rPr>
          <w:rFonts w:hint="eastAsia" w:ascii="楷体" w:hAnsi="楷体" w:eastAsia="楷体"/>
          <w:sz w:val="24"/>
        </w:rPr>
        <w:t>日（含）起至《</w:t>
      </w:r>
      <w:r>
        <w:rPr>
          <w:rFonts w:hint="eastAsia" w:ascii="楷体" w:hAnsi="楷体" w:eastAsia="楷体" w:cs="楷体"/>
          <w:sz w:val="24"/>
        </w:rPr>
        <w:t>信托贷款合同</w:t>
      </w:r>
      <w:r>
        <w:rPr>
          <w:rFonts w:hint="eastAsia" w:ascii="楷体" w:hAnsi="楷体" w:eastAsia="楷体"/>
          <w:sz w:val="24"/>
        </w:rPr>
        <w:t>》履行完毕且乙方完成退场工作交接</w:t>
      </w:r>
      <w:r>
        <w:rPr>
          <w:rFonts w:hint="eastAsia" w:ascii="楷体" w:hAnsi="楷体" w:eastAsia="楷体" w:cs="楷体"/>
          <w:sz w:val="24"/>
        </w:rPr>
        <w:t>之日止（含）或甲方书面通知乙方终止监管服务且乙方完成退场工作交接之日止（含）。</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6</w:t>
      </w:r>
      <w:r>
        <w:rPr>
          <w:rFonts w:hint="eastAsia" w:ascii="楷体" w:hAnsi="楷体" w:eastAsia="楷体" w:cs="楷体"/>
          <w:sz w:val="24"/>
        </w:rPr>
        <w:t>.3.3本协议最低服务周期三个月，不足三个月的，甲方按三个月支付乙方监管服务费。</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6</w:t>
      </w:r>
      <w:r>
        <w:rPr>
          <w:rFonts w:hint="eastAsia" w:ascii="楷体" w:hAnsi="楷体" w:eastAsia="楷体" w:cs="楷体"/>
          <w:sz w:val="24"/>
        </w:rPr>
        <w:t>.4 在履行本协议期间，乙方为甲方提供服务所发生的包括但不限于食、宿、差旅等一切费用，均已包含在监管服务费用中，不再另外计取。但若乙方驻场人员因配合项目的日常工程建设、运营等工作外出所产生交通费用、住宿费等，应由项目公司事先安排和承担，乙方驻场人员不进行垫付。</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6</w:t>
      </w:r>
      <w:r>
        <w:rPr>
          <w:rFonts w:hint="eastAsia" w:ascii="楷体" w:hAnsi="楷体" w:eastAsia="楷体" w:cs="楷体"/>
          <w:sz w:val="24"/>
        </w:rPr>
        <w:t>.5甲方应按照本协议约定的付款时间，在收到乙方开具的合法、有效的增值税专用发票后按期足额将应付的服务费用汇至如下乙方指定银行账户：</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收款账户名：【北京康信君安资产管理有限公司】</w:t>
      </w:r>
    </w:p>
    <w:p>
      <w:pPr>
        <w:adjustRightInd w:val="0"/>
        <w:snapToGrid w:val="0"/>
        <w:spacing w:before="156" w:beforeLines="50"/>
        <w:ind w:firstLine="480" w:firstLineChars="200"/>
        <w:jc w:val="left"/>
        <w:rPr>
          <w:rFonts w:ascii="Times New Roman" w:hAnsi="Times New Roman" w:eastAsia="楷体_GB2312"/>
          <w:sz w:val="24"/>
        </w:rPr>
      </w:pPr>
      <w:r>
        <w:rPr>
          <w:rFonts w:hint="eastAsia" w:ascii="楷体" w:hAnsi="楷体" w:eastAsia="楷体" w:cs="楷体"/>
          <w:sz w:val="24"/>
        </w:rPr>
        <w:t>银行账号：</w:t>
      </w:r>
      <w:r>
        <w:rPr>
          <w:rFonts w:hint="eastAsia" w:ascii="Times New Roman" w:hAnsi="Times New Roman" w:eastAsia="楷体_GB2312"/>
          <w:sz w:val="24"/>
        </w:rPr>
        <w:t>【</w:t>
      </w:r>
      <w:r>
        <w:rPr>
          <w:rFonts w:ascii="楷体" w:hAnsi="楷体" w:eastAsia="楷体"/>
          <w:sz w:val="24"/>
        </w:rPr>
        <w:t>0200337619100015708</w:t>
      </w:r>
      <w:r>
        <w:rPr>
          <w:rFonts w:hint="eastAsia" w:ascii="Times New Roman" w:hAnsi="Times New Roman" w:eastAsia="楷体_GB2312"/>
          <w:sz w:val="24"/>
        </w:rPr>
        <w:t>】</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开户银行：【中国工商银行股份有限公司北京地安门支行】</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地址：【北京市朝阳区裕民路12号1号楼10层B1001】</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6</w:t>
      </w:r>
      <w:r>
        <w:rPr>
          <w:rFonts w:ascii="楷体" w:hAnsi="楷体" w:eastAsia="楷体" w:cs="楷体"/>
          <w:sz w:val="24"/>
        </w:rPr>
        <w:t xml:space="preserve">.6 </w:t>
      </w:r>
      <w:r>
        <w:rPr>
          <w:rFonts w:hint="eastAsia" w:ascii="楷体" w:hAnsi="楷体" w:eastAsia="楷体" w:cs="楷体"/>
          <w:sz w:val="24"/>
        </w:rPr>
        <w:t>甲方增值税专用发票的开票信息</w:t>
      </w:r>
    </w:p>
    <w:p>
      <w:pPr>
        <w:adjustRightInd w:val="0"/>
        <w:snapToGrid w:val="0"/>
        <w:spacing w:before="156" w:beforeLines="50"/>
        <w:ind w:firstLine="480" w:firstLineChars="200"/>
        <w:jc w:val="left"/>
        <w:rPr>
          <w:rFonts w:ascii="楷体" w:hAnsi="楷体" w:eastAsia="楷体" w:cs="楷体"/>
          <w:bCs/>
          <w:kern w:val="44"/>
          <w:sz w:val="24"/>
        </w:rPr>
      </w:pPr>
      <w:r>
        <w:rPr>
          <w:rFonts w:hint="eastAsia" w:ascii="楷体" w:hAnsi="楷体" w:eastAsia="楷体" w:cs="楷体"/>
          <w:bCs/>
          <w:kern w:val="44"/>
          <w:sz w:val="24"/>
        </w:rPr>
        <w:t>公司名称：北方国际信托股份有限公司</w:t>
      </w:r>
    </w:p>
    <w:p>
      <w:pPr>
        <w:adjustRightInd w:val="0"/>
        <w:snapToGrid w:val="0"/>
        <w:spacing w:before="156" w:beforeLines="50"/>
        <w:ind w:firstLine="480" w:firstLineChars="200"/>
        <w:jc w:val="left"/>
        <w:rPr>
          <w:rFonts w:ascii="楷体" w:hAnsi="楷体" w:eastAsia="楷体" w:cs="楷体"/>
          <w:bCs/>
          <w:kern w:val="44"/>
          <w:sz w:val="24"/>
        </w:rPr>
      </w:pPr>
      <w:r>
        <w:rPr>
          <w:rFonts w:hint="eastAsia" w:ascii="楷体" w:hAnsi="楷体" w:eastAsia="楷体" w:cs="楷体"/>
          <w:bCs/>
          <w:kern w:val="44"/>
          <w:sz w:val="24"/>
        </w:rPr>
        <w:t>纳税人识别号：【</w:t>
      </w:r>
      <w:r>
        <w:rPr>
          <w:rFonts w:ascii="楷体" w:hAnsi="楷体" w:eastAsia="楷体" w:cs="楷体"/>
          <w:bCs/>
          <w:kern w:val="44"/>
          <w:sz w:val="24"/>
        </w:rPr>
        <w:t xml:space="preserve">91120000104312463T </w:t>
      </w:r>
      <w:r>
        <w:rPr>
          <w:rFonts w:hint="eastAsia" w:ascii="楷体" w:hAnsi="楷体" w:eastAsia="楷体" w:cs="楷体"/>
          <w:bCs/>
          <w:kern w:val="44"/>
          <w:sz w:val="24"/>
        </w:rPr>
        <w:t>】</w:t>
      </w:r>
    </w:p>
    <w:p>
      <w:pPr>
        <w:adjustRightInd w:val="0"/>
        <w:snapToGrid w:val="0"/>
        <w:spacing w:before="156" w:beforeLines="50"/>
        <w:ind w:firstLine="480" w:firstLineChars="200"/>
        <w:jc w:val="left"/>
        <w:rPr>
          <w:rFonts w:ascii="楷体" w:hAnsi="楷体" w:eastAsia="楷体" w:cs="楷体"/>
          <w:bCs/>
          <w:kern w:val="44"/>
          <w:sz w:val="24"/>
        </w:rPr>
      </w:pPr>
      <w:r>
        <w:rPr>
          <w:rFonts w:hint="eastAsia" w:ascii="楷体" w:hAnsi="楷体" w:eastAsia="楷体" w:cs="楷体"/>
          <w:bCs/>
          <w:kern w:val="44"/>
          <w:sz w:val="24"/>
        </w:rPr>
        <w:t>地址、电话：【天津开发区第三大街39号，022-28370688】</w:t>
      </w:r>
    </w:p>
    <w:p>
      <w:pPr>
        <w:pStyle w:val="2"/>
        <w:numPr>
          <w:ilvl w:val="255"/>
          <w:numId w:val="0"/>
        </w:numPr>
        <w:tabs>
          <w:tab w:val="left" w:pos="2269"/>
        </w:tabs>
        <w:spacing w:before="156" w:beforeLines="50" w:after="156" w:afterLines="50" w:line="240" w:lineRule="auto"/>
        <w:ind w:firstLine="480" w:firstLineChars="200"/>
        <w:rPr>
          <w:rFonts w:ascii="楷体" w:hAnsi="楷体" w:eastAsia="楷体" w:cs="楷体"/>
          <w:b w:val="0"/>
        </w:rPr>
      </w:pPr>
      <w:r>
        <w:rPr>
          <w:rFonts w:hint="eastAsia" w:ascii="楷体" w:hAnsi="楷体" w:eastAsia="楷体" w:cs="楷体"/>
          <w:b w:val="0"/>
        </w:rPr>
        <w:t>开户行及账号：【天津银行绍兴道支行，114001201090076878】</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 xml:space="preserve">6.7 </w:t>
      </w:r>
      <w:r>
        <w:rPr>
          <w:rFonts w:hint="eastAsia" w:ascii="楷体" w:hAnsi="楷体" w:eastAsia="楷体" w:cs="楷体"/>
          <w:sz w:val="24"/>
        </w:rPr>
        <w:t>如因标的项目运行需要，需要增派驻场人员，增派人员服务费自增派人员进场之日起计算。增派服务费标准为【3</w:t>
      </w:r>
      <w:r>
        <w:rPr>
          <w:rFonts w:ascii="楷体" w:hAnsi="楷体" w:eastAsia="楷体" w:cs="楷体"/>
          <w:sz w:val="24"/>
        </w:rPr>
        <w:t>7500</w:t>
      </w:r>
      <w:r>
        <w:rPr>
          <w:rFonts w:hint="eastAsia" w:ascii="楷体" w:hAnsi="楷体" w:eastAsia="楷体" w:cs="楷体"/>
          <w:sz w:val="24"/>
        </w:rPr>
        <w:t>.00】元</w:t>
      </w:r>
      <w:r>
        <w:rPr>
          <w:rFonts w:ascii="楷体" w:hAnsi="楷体" w:eastAsia="楷体" w:cs="楷体"/>
          <w:sz w:val="24"/>
        </w:rPr>
        <w:t>/</w:t>
      </w:r>
      <w:r>
        <w:rPr>
          <w:rFonts w:hint="eastAsia" w:ascii="楷体" w:hAnsi="楷体" w:eastAsia="楷体" w:cs="楷体"/>
          <w:sz w:val="24"/>
        </w:rPr>
        <w:t>月</w:t>
      </w:r>
      <w:r>
        <w:rPr>
          <w:rFonts w:ascii="楷体" w:hAnsi="楷体" w:eastAsia="楷体" w:cs="楷体"/>
          <w:sz w:val="24"/>
        </w:rPr>
        <w:t>/</w:t>
      </w:r>
      <w:r>
        <w:rPr>
          <w:rFonts w:hint="eastAsia" w:ascii="楷体" w:hAnsi="楷体" w:eastAsia="楷体" w:cs="楷体"/>
          <w:sz w:val="24"/>
        </w:rPr>
        <w:t>人（含税价，大写：每月【叁万柒仟伍佰元】），付款时点与计算方式同6</w:t>
      </w:r>
      <w:r>
        <w:rPr>
          <w:rFonts w:ascii="楷体" w:hAnsi="楷体" w:eastAsia="楷体" w:cs="楷体"/>
          <w:sz w:val="24"/>
        </w:rPr>
        <w:t>.3.2</w:t>
      </w:r>
      <w:r>
        <w:rPr>
          <w:rFonts w:hint="eastAsia" w:ascii="楷体" w:hAnsi="楷体" w:eastAsia="楷体" w:cs="楷体"/>
          <w:sz w:val="24"/>
        </w:rPr>
        <w:t>约定的一致。</w:t>
      </w:r>
    </w:p>
    <w:p>
      <w:pPr>
        <w:adjustRightInd w:val="0"/>
        <w:snapToGrid w:val="0"/>
        <w:spacing w:before="156" w:beforeLines="50"/>
        <w:ind w:firstLine="420" w:firstLineChars="200"/>
        <w:jc w:val="left"/>
      </w:pP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34" w:name="_Toc23932"/>
      <w:bookmarkStart w:id="35" w:name="_Toc73798376"/>
      <w:bookmarkStart w:id="36" w:name="_Toc7559"/>
      <w:r>
        <w:rPr>
          <w:rFonts w:hint="eastAsia" w:ascii="楷体" w:hAnsi="楷体" w:eastAsia="楷体" w:cs="楷体"/>
        </w:rPr>
        <w:t>第</w:t>
      </w:r>
      <w:r>
        <w:rPr>
          <w:rFonts w:ascii="楷体" w:hAnsi="楷体" w:eastAsia="楷体" w:cs="楷体"/>
        </w:rPr>
        <w:t>7</w:t>
      </w:r>
      <w:r>
        <w:rPr>
          <w:rFonts w:hint="eastAsia" w:ascii="楷体" w:hAnsi="楷体" w:eastAsia="楷体" w:cs="楷体"/>
        </w:rPr>
        <w:t>条 陈述与保证</w:t>
      </w:r>
      <w:bookmarkEnd w:id="34"/>
      <w:bookmarkEnd w:id="35"/>
      <w:bookmarkEnd w:id="36"/>
    </w:p>
    <w:p>
      <w:pPr>
        <w:pStyle w:val="19"/>
        <w:tabs>
          <w:tab w:val="left" w:pos="284"/>
          <w:tab w:val="left" w:pos="426"/>
          <w:tab w:val="left" w:pos="567"/>
        </w:tabs>
        <w:adjustRightInd w:val="0"/>
        <w:snapToGrid w:val="0"/>
        <w:spacing w:before="156" w:beforeLines="50"/>
        <w:ind w:firstLine="560"/>
        <w:jc w:val="left"/>
        <w:rPr>
          <w:rFonts w:ascii="楷体" w:hAnsi="楷体" w:eastAsia="楷体" w:cs="楷体"/>
          <w:b/>
          <w:bCs/>
          <w:spacing w:val="20"/>
          <w:sz w:val="24"/>
        </w:rPr>
      </w:pPr>
      <w:r>
        <w:rPr>
          <w:rFonts w:ascii="楷体" w:hAnsi="楷体" w:eastAsia="楷体" w:cs="楷体"/>
          <w:spacing w:val="20"/>
          <w:sz w:val="24"/>
        </w:rPr>
        <w:t>7</w:t>
      </w:r>
      <w:r>
        <w:rPr>
          <w:rFonts w:hint="eastAsia" w:ascii="楷体" w:hAnsi="楷体" w:eastAsia="楷体" w:cs="楷体"/>
          <w:spacing w:val="20"/>
          <w:sz w:val="24"/>
        </w:rPr>
        <w:t>.1</w:t>
      </w:r>
      <w:r>
        <w:rPr>
          <w:rFonts w:hint="eastAsia" w:ascii="楷体" w:hAnsi="楷体" w:eastAsia="楷体" w:cs="楷体"/>
          <w:sz w:val="24"/>
        </w:rPr>
        <w:t>甲方保证，其在签署本协议时及本协议有效期限内：</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r>
        <w:rPr>
          <w:rFonts w:hint="eastAsia" w:ascii="楷体" w:hAnsi="楷体" w:eastAsia="楷体" w:cs="楷体"/>
          <w:sz w:val="24"/>
        </w:rPr>
        <w:t>甲方保证甲方系在中华人民共和国境内依法设立并有效存续的企业法人，依法依公司章程、在公司经营范围内从事经营活动；</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r>
        <w:rPr>
          <w:rFonts w:hint="eastAsia" w:ascii="楷体" w:hAnsi="楷体" w:eastAsia="楷体" w:cs="楷体"/>
          <w:sz w:val="24"/>
        </w:rPr>
        <w:t>甲方有签署和执行本协议一切条款的权利和权力；</w:t>
      </w:r>
    </w:p>
    <w:p>
      <w:pPr>
        <w:pStyle w:val="19"/>
        <w:tabs>
          <w:tab w:val="left" w:pos="284"/>
          <w:tab w:val="left" w:pos="426"/>
          <w:tab w:val="left" w:pos="567"/>
        </w:tabs>
        <w:adjustRightInd w:val="0"/>
        <w:snapToGrid w:val="0"/>
        <w:spacing w:before="156" w:beforeLines="50"/>
        <w:ind w:firstLine="480"/>
        <w:rPr>
          <w:rFonts w:ascii="楷体" w:hAnsi="楷体" w:eastAsia="楷体" w:cs="楷体"/>
          <w:sz w:val="24"/>
        </w:rPr>
      </w:pPr>
      <w:r>
        <w:rPr>
          <w:rFonts w:hint="eastAsia" w:ascii="楷体" w:hAnsi="楷体" w:eastAsia="楷体" w:cs="楷体"/>
          <w:sz w:val="24"/>
        </w:rPr>
        <w:t>甲方应当向乙方叙述委托事项有关的事实，提供与委托事项有关且必要的材料、文件。甲方已向乙方提供了与项目公司签署的编号为JHXT20210220046-RZ-DK01的《信托资金贷款合同》，编号为JHXT20210220046-RZ-DK01-BC01的《信托资金贷款合同（补充协议一）》，编号为JHXT20210220046-RZ-DY01、JHXT20210220046-RZ-DY02的《抵押合同》，编号为</w:t>
      </w:r>
      <w:r>
        <w:rPr>
          <w:rFonts w:ascii="楷体" w:hAnsi="楷体" w:eastAsia="楷体" w:cs="楷体"/>
          <w:sz w:val="24"/>
        </w:rPr>
        <w:t>JHXT20210220046-RZ-BZ01的</w:t>
      </w:r>
      <w:r>
        <w:rPr>
          <w:rFonts w:hint="eastAsia" w:ascii="楷体" w:hAnsi="楷体" w:eastAsia="楷体" w:cs="楷体"/>
          <w:sz w:val="24"/>
        </w:rPr>
        <w:t>《保证合同》，编号为</w:t>
      </w:r>
      <w:r>
        <w:rPr>
          <w:rFonts w:ascii="楷体" w:hAnsi="楷体" w:eastAsia="楷体" w:cs="楷体"/>
          <w:sz w:val="24"/>
        </w:rPr>
        <w:t>JHXT20210220046-RZ-ZJ01</w:t>
      </w:r>
      <w:r>
        <w:rPr>
          <w:rFonts w:hint="eastAsia" w:ascii="楷体" w:hAnsi="楷体" w:eastAsia="楷体" w:cs="楷体"/>
          <w:sz w:val="24"/>
        </w:rPr>
        <w:t>的《资金监管协议》及标的项目概况。乙方已了解标的项目有关事实情况。</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r>
        <w:rPr>
          <w:rFonts w:hint="eastAsia" w:ascii="楷体" w:hAnsi="楷体" w:eastAsia="楷体" w:cs="楷体"/>
          <w:sz w:val="24"/>
        </w:rPr>
        <w:t xml:space="preserve">甲方有权对委托事项作出独立的判断、决策。 </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p>
    <w:p>
      <w:pPr>
        <w:pStyle w:val="19"/>
        <w:tabs>
          <w:tab w:val="left" w:pos="284"/>
          <w:tab w:val="left" w:pos="426"/>
          <w:tab w:val="left" w:pos="567"/>
        </w:tabs>
        <w:adjustRightInd w:val="0"/>
        <w:snapToGrid w:val="0"/>
        <w:spacing w:before="156" w:beforeLines="50"/>
        <w:ind w:firstLine="560"/>
        <w:jc w:val="left"/>
        <w:rPr>
          <w:rFonts w:ascii="楷体" w:hAnsi="楷体" w:eastAsia="楷体" w:cs="楷体"/>
          <w:sz w:val="24"/>
        </w:rPr>
      </w:pPr>
      <w:r>
        <w:rPr>
          <w:rFonts w:ascii="楷体" w:hAnsi="楷体" w:eastAsia="楷体" w:cs="楷体"/>
          <w:spacing w:val="20"/>
          <w:sz w:val="24"/>
        </w:rPr>
        <w:t>7</w:t>
      </w:r>
      <w:r>
        <w:rPr>
          <w:rFonts w:hint="eastAsia" w:ascii="楷体" w:hAnsi="楷体" w:eastAsia="楷体" w:cs="楷体"/>
          <w:spacing w:val="20"/>
          <w:sz w:val="24"/>
        </w:rPr>
        <w:t>.</w:t>
      </w:r>
      <w:r>
        <w:rPr>
          <w:rFonts w:ascii="楷体" w:hAnsi="楷体" w:eastAsia="楷体" w:cs="楷体"/>
          <w:spacing w:val="20"/>
          <w:sz w:val="24"/>
        </w:rPr>
        <w:t>2</w:t>
      </w:r>
      <w:r>
        <w:rPr>
          <w:rFonts w:hint="eastAsia" w:ascii="楷体" w:hAnsi="楷体" w:eastAsia="楷体" w:cs="楷体"/>
          <w:sz w:val="24"/>
        </w:rPr>
        <w:t>乙方保证</w:t>
      </w:r>
      <w:r>
        <w:rPr>
          <w:rFonts w:hint="eastAsia" w:ascii="楷体" w:hAnsi="楷体" w:eastAsia="楷体" w:cs="楷体"/>
          <w:spacing w:val="20"/>
          <w:sz w:val="24"/>
        </w:rPr>
        <w:t>，</w:t>
      </w:r>
      <w:r>
        <w:rPr>
          <w:rFonts w:hint="eastAsia" w:ascii="楷体" w:hAnsi="楷体" w:eastAsia="楷体" w:cs="楷体"/>
          <w:sz w:val="24"/>
        </w:rPr>
        <w:t>其在签署本协议时及本协议有效期限内：</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r>
        <w:rPr>
          <w:rFonts w:hint="eastAsia" w:ascii="楷体" w:hAnsi="楷体" w:eastAsia="楷体" w:cs="楷体"/>
          <w:sz w:val="24"/>
        </w:rPr>
        <w:t>乙方系在中华人民共和国境内依法设立并有效存续的企业法人，在其营业执照规定的经营范围内依法从事经营活动；</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r>
        <w:rPr>
          <w:rFonts w:hint="eastAsia" w:ascii="楷体" w:hAnsi="楷体" w:eastAsia="楷体" w:cs="楷体"/>
          <w:sz w:val="24"/>
        </w:rPr>
        <w:t>乙方有签署和执行本协议一切条款的权利和权力；</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r>
        <w:rPr>
          <w:rFonts w:hint="eastAsia" w:ascii="楷体" w:hAnsi="楷体" w:eastAsia="楷体" w:cs="楷体"/>
          <w:sz w:val="24"/>
        </w:rPr>
        <w:t>乙方应当勤勉、尽责地完成本协议所列的服务工作，并定期与甲方联系和通报；</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r>
        <w:rPr>
          <w:rFonts w:hint="eastAsia" w:ascii="楷体" w:hAnsi="楷体" w:eastAsia="楷体" w:cs="楷体"/>
          <w:sz w:val="24"/>
        </w:rPr>
        <w:t>乙方工作人员按照行业公认的业务标准、道德规范和勤勉尽责精神，出具咨询评估意见、监管报告并提供专业服务；</w:t>
      </w:r>
    </w:p>
    <w:p>
      <w:pPr>
        <w:pStyle w:val="19"/>
        <w:tabs>
          <w:tab w:val="left" w:pos="284"/>
          <w:tab w:val="left" w:pos="426"/>
          <w:tab w:val="left" w:pos="567"/>
        </w:tabs>
        <w:adjustRightInd w:val="0"/>
        <w:snapToGrid w:val="0"/>
        <w:spacing w:before="156" w:beforeLines="50"/>
        <w:ind w:firstLine="480"/>
        <w:jc w:val="left"/>
        <w:rPr>
          <w:rFonts w:ascii="楷体" w:hAnsi="楷体" w:eastAsia="楷体" w:cs="楷体"/>
          <w:sz w:val="24"/>
        </w:rPr>
      </w:pPr>
      <w:r>
        <w:rPr>
          <w:rFonts w:hint="eastAsia" w:ascii="楷体" w:hAnsi="楷体" w:eastAsia="楷体" w:cs="楷体"/>
          <w:sz w:val="24"/>
        </w:rPr>
        <w:t>乙方承诺，未经甲方同意，乙方不得同时为与甲方具有本信托计划商业上利益冲突的另一方提供任何相关服务。</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37" w:name="_Toc31508"/>
      <w:bookmarkStart w:id="38" w:name="_Toc73798377"/>
      <w:bookmarkStart w:id="39" w:name="_Toc8425"/>
      <w:r>
        <w:rPr>
          <w:rFonts w:hint="eastAsia" w:ascii="楷体" w:hAnsi="楷体" w:eastAsia="楷体" w:cs="楷体"/>
        </w:rPr>
        <w:t>第</w:t>
      </w:r>
      <w:r>
        <w:rPr>
          <w:rFonts w:ascii="楷体" w:hAnsi="楷体" w:eastAsia="楷体" w:cs="楷体"/>
        </w:rPr>
        <w:t>8</w:t>
      </w:r>
      <w:r>
        <w:rPr>
          <w:rFonts w:hint="eastAsia" w:ascii="楷体" w:hAnsi="楷体" w:eastAsia="楷体" w:cs="楷体"/>
        </w:rPr>
        <w:t>条 保密</w:t>
      </w:r>
      <w:bookmarkEnd w:id="37"/>
      <w:bookmarkEnd w:id="38"/>
      <w:bookmarkEnd w:id="39"/>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.1 与本协议有关的任何信息均为本协议的保密信息，未经双方的明确事先书面同意，任何一方均不得向任何第三方披露本协议或项目公司有关的任何信息，但受本保密条款约束的律师或其他顾问以及法律另有规定的除外。</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.2 在下列情形下，不适用前述第</w:t>
      </w:r>
      <w:r>
        <w:rPr>
          <w:rFonts w:ascii="楷体" w:hAnsi="楷体" w:eastAsia="楷体" w:cs="楷体"/>
          <w:sz w:val="24"/>
        </w:rPr>
        <w:t>8</w:t>
      </w:r>
      <w:r>
        <w:rPr>
          <w:rFonts w:hint="eastAsia" w:ascii="楷体" w:hAnsi="楷体" w:eastAsia="楷体" w:cs="楷体"/>
          <w:sz w:val="24"/>
        </w:rPr>
        <w:t>.1款的约定：</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.2.1法律、法规、任何监管机关要求披露或使用的，甲方向信托计划项下投资者（包括潜在投资者）、保管人、中介机构等信托计划相关主体披露的；</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.2.2为将本协议的全部利益赋予双方而要求披露或使用的；</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.2.3因本协议或根据本协议而订立的任何其他合同而引起的任何司法程序而要求披露或使用的，或合理向税务机关披露有关披露方税务事宜的；</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.2.4非因违反本协议，信息已进入公知范围的；</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.2.5另一方已事先书面批准披露或使用的；</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.2.6信息是在本协议签订后独立开发的。</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.3 本条款下保密义务不因本协议终止而终止。为执行本协议目的，双方保证对在讨论、签订、执行本协议过程中所获悉的相关情况限定在有限范围内知晓。</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.4 如果一方违反保密义务造成其他双方损失的，应赔偿其他双方的直接损失和间接损失。</w:t>
      </w:r>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8</w:t>
      </w:r>
      <w:r>
        <w:rPr>
          <w:rFonts w:hint="eastAsia" w:ascii="楷体" w:hAnsi="楷体" w:eastAsia="楷体" w:cs="楷体"/>
          <w:sz w:val="24"/>
        </w:rPr>
        <w:t>.5 本条在本协议终止或解除后仍继续有效。</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40" w:name="_Toc30083"/>
      <w:bookmarkStart w:id="41" w:name="_Toc73798378"/>
      <w:bookmarkStart w:id="42" w:name="_Toc13775"/>
      <w:r>
        <w:rPr>
          <w:rFonts w:hint="eastAsia" w:ascii="楷体" w:hAnsi="楷体" w:eastAsia="楷体" w:cs="楷体"/>
        </w:rPr>
        <w:t>第</w:t>
      </w:r>
      <w:r>
        <w:rPr>
          <w:rFonts w:ascii="楷体" w:hAnsi="楷体" w:eastAsia="楷体" w:cs="楷体"/>
        </w:rPr>
        <w:t>9</w:t>
      </w:r>
      <w:r>
        <w:rPr>
          <w:rFonts w:hint="eastAsia" w:ascii="楷体" w:hAnsi="楷体" w:eastAsia="楷体" w:cs="楷体"/>
        </w:rPr>
        <w:t>条 违约责任</w:t>
      </w:r>
      <w:bookmarkEnd w:id="40"/>
      <w:bookmarkEnd w:id="41"/>
      <w:bookmarkEnd w:id="42"/>
    </w:p>
    <w:p>
      <w:pPr>
        <w:adjustRightInd w:val="0"/>
        <w:snapToGrid w:val="0"/>
        <w:spacing w:before="156" w:beforeLines="50"/>
        <w:ind w:firstLine="480" w:firstLineChars="200"/>
        <w:jc w:val="left"/>
        <w:rPr>
          <w:rFonts w:ascii="楷体" w:hAnsi="楷体" w:eastAsia="楷体" w:cs="楷体"/>
          <w:sz w:val="24"/>
        </w:rPr>
      </w:pPr>
      <w:r>
        <w:rPr>
          <w:rFonts w:ascii="楷体" w:hAnsi="楷体" w:eastAsia="楷体" w:cs="楷体"/>
          <w:sz w:val="24"/>
        </w:rPr>
        <w:t>9</w:t>
      </w:r>
      <w:r>
        <w:rPr>
          <w:rFonts w:hint="eastAsia" w:ascii="楷体" w:hAnsi="楷体" w:eastAsia="楷体" w:cs="楷体"/>
          <w:sz w:val="24"/>
        </w:rPr>
        <w:t>.1 甲方未按时支付乙方监管服务费的，自逾期之日起按拖欠费用金额每日万分之三计算滞纳金，直至全部费用支付完毕。</w:t>
      </w:r>
    </w:p>
    <w:p>
      <w:pPr>
        <w:adjustRightInd w:val="0"/>
        <w:snapToGrid w:val="0"/>
        <w:spacing w:before="156" w:beforeLines="50"/>
        <w:ind w:firstLine="480" w:firstLineChars="200"/>
        <w:jc w:val="left"/>
      </w:pPr>
      <w:r>
        <w:rPr>
          <w:rFonts w:ascii="楷体" w:hAnsi="楷体" w:eastAsia="楷体" w:cs="楷体"/>
          <w:sz w:val="24"/>
        </w:rPr>
        <w:t>9</w:t>
      </w:r>
      <w:r>
        <w:rPr>
          <w:rFonts w:hint="eastAsia" w:ascii="楷体" w:hAnsi="楷体" w:eastAsia="楷体" w:cs="楷体"/>
          <w:sz w:val="24"/>
        </w:rPr>
        <w:t>.2乙方未按本协议约定履行监管义务，或与项目公司串通损害甲</w:t>
      </w:r>
      <w:bookmarkStart w:id="59" w:name="_GoBack"/>
      <w:bookmarkEnd w:id="59"/>
      <w:r>
        <w:rPr>
          <w:rFonts w:hint="eastAsia" w:ascii="楷体" w:hAnsi="楷体" w:eastAsia="楷体" w:cs="楷体"/>
          <w:sz w:val="24"/>
        </w:rPr>
        <w:t>方利益的，乙方应当每日按整年监管服务费用的【万分之三】向甲方支付自违约事项发生之日至违约事项纠正之日的违约金；若给甲方及/或信托计划造成损失的，还应赔偿由此给甲方及/或信托计划造成的全部损失，且甲方有权单方面解除本协议。</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43" w:name="_Toc27049"/>
      <w:bookmarkStart w:id="44" w:name="_Toc12292"/>
      <w:bookmarkStart w:id="45" w:name="_Toc73798379"/>
      <w:r>
        <w:rPr>
          <w:rFonts w:hint="eastAsia" w:ascii="楷体" w:hAnsi="楷体" w:eastAsia="楷体" w:cs="楷体"/>
        </w:rPr>
        <w:t>第1</w:t>
      </w:r>
      <w:r>
        <w:rPr>
          <w:rFonts w:ascii="楷体" w:hAnsi="楷体" w:eastAsia="楷体" w:cs="楷体"/>
        </w:rPr>
        <w:t>0</w:t>
      </w:r>
      <w:r>
        <w:rPr>
          <w:rFonts w:hint="eastAsia" w:ascii="楷体" w:hAnsi="楷体" w:eastAsia="楷体" w:cs="楷体"/>
        </w:rPr>
        <w:t>条 不可抗力</w:t>
      </w:r>
      <w:bookmarkEnd w:id="43"/>
      <w:bookmarkEnd w:id="44"/>
      <w:bookmarkEnd w:id="45"/>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0</w:t>
      </w:r>
      <w:r>
        <w:rPr>
          <w:rFonts w:hint="eastAsia" w:ascii="楷体" w:hAnsi="楷体" w:eastAsia="楷体" w:cs="楷体"/>
          <w:sz w:val="24"/>
        </w:rPr>
        <w:t>.1 如果一方在履行本协议时直接受到某一不可抗力事实的影响、迟延或阻碍，该方应在不可抗力事件发生后的十天内通知其他方并提供有关的详细信息；</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0</w:t>
      </w:r>
      <w:r>
        <w:rPr>
          <w:rFonts w:hint="eastAsia" w:ascii="楷体" w:hAnsi="楷体" w:eastAsia="楷体" w:cs="楷体"/>
          <w:sz w:val="24"/>
        </w:rPr>
        <w:t>.2 对不可抗力事件造成的未履行或延迟履行义务，任何一方均不承担责任。受不可抗力事件影响的一方须采取适当措施以减少或消除不可抗力的影响，并尽快恢复履行受不可抗力事件影响的义务；</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0</w:t>
      </w:r>
      <w:r>
        <w:rPr>
          <w:rFonts w:hint="eastAsia" w:ascii="楷体" w:hAnsi="楷体" w:eastAsia="楷体" w:cs="楷体"/>
          <w:sz w:val="24"/>
        </w:rPr>
        <w:t>.3 本协议所称不可抗力事件指无法克服、无法预见、超出一方或双方合理控制范围且妨碍双方完全履行合同义务的事件。不可抗力事件包括但不限于以下方面：自然灾害、暴动、战争、内乱、爆炸、火灾、洪水、瘟疫（大流行、强传染力的流行性疾病）。</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46" w:name="_Toc73798380"/>
      <w:bookmarkStart w:id="47" w:name="_Toc18283"/>
      <w:r>
        <w:rPr>
          <w:rFonts w:hint="eastAsia" w:ascii="楷体" w:hAnsi="楷体" w:eastAsia="楷体" w:cs="楷体"/>
        </w:rPr>
        <w:t>第1</w:t>
      </w:r>
      <w:r>
        <w:rPr>
          <w:rFonts w:ascii="楷体" w:hAnsi="楷体" w:eastAsia="楷体" w:cs="楷体"/>
        </w:rPr>
        <w:t>1</w:t>
      </w:r>
      <w:r>
        <w:rPr>
          <w:rFonts w:hint="eastAsia" w:ascii="楷体" w:hAnsi="楷体" w:eastAsia="楷体" w:cs="楷体"/>
        </w:rPr>
        <w:t xml:space="preserve">条 </w:t>
      </w:r>
      <w:bookmarkStart w:id="48" w:name="_Toc22725"/>
      <w:r>
        <w:rPr>
          <w:rFonts w:hint="eastAsia" w:ascii="楷体" w:hAnsi="楷体" w:eastAsia="楷体" w:cs="楷体"/>
        </w:rPr>
        <w:t>法律适用及争议解决</w:t>
      </w:r>
      <w:bookmarkEnd w:id="46"/>
      <w:bookmarkEnd w:id="47"/>
      <w:bookmarkEnd w:id="48"/>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1</w:t>
      </w:r>
      <w:r>
        <w:rPr>
          <w:rFonts w:hint="eastAsia" w:ascii="楷体" w:hAnsi="楷体" w:eastAsia="楷体" w:cs="楷体"/>
          <w:sz w:val="24"/>
        </w:rPr>
        <w:t>.1 本协议的成立、有效、解释和履行，适用中华人民共和国法律（不含香港特别行政区、澳门特别行政区和台湾地区）。</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1</w:t>
      </w:r>
      <w:r>
        <w:rPr>
          <w:rFonts w:hint="eastAsia" w:ascii="楷体" w:hAnsi="楷体" w:eastAsia="楷体" w:cs="楷体"/>
          <w:sz w:val="24"/>
        </w:rPr>
        <w:t>.2 在履行本协议过程中，当事人若发生纠纷，应本着友好协商，维护监管资产利益的原则协商解决；协商不成的，任何一方应向甲方住所地有管辖权的人民法院提起诉讼以解决争议，败诉方应承担胜诉方因此支付的律师费。</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1</w:t>
      </w:r>
      <w:r>
        <w:rPr>
          <w:rFonts w:hint="eastAsia" w:ascii="楷体" w:hAnsi="楷体" w:eastAsia="楷体" w:cs="楷体"/>
          <w:sz w:val="24"/>
        </w:rPr>
        <w:t>.3 在发生任何争议和在任何争议正在进行诉讼时，除了所争议的事宜外，双方应继续完成其各自在本协议项下的义务。</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49" w:name="_Toc73798381"/>
      <w:bookmarkStart w:id="50" w:name="_Toc4579"/>
      <w:r>
        <w:rPr>
          <w:rFonts w:hint="eastAsia" w:ascii="楷体" w:hAnsi="楷体" w:eastAsia="楷体" w:cs="楷体"/>
        </w:rPr>
        <w:t>第1</w:t>
      </w:r>
      <w:r>
        <w:rPr>
          <w:rFonts w:ascii="楷体" w:hAnsi="楷体" w:eastAsia="楷体" w:cs="楷体"/>
        </w:rPr>
        <w:t>2</w:t>
      </w:r>
      <w:r>
        <w:rPr>
          <w:rFonts w:hint="eastAsia" w:ascii="楷体" w:hAnsi="楷体" w:eastAsia="楷体" w:cs="楷体"/>
        </w:rPr>
        <w:t xml:space="preserve">条 </w:t>
      </w:r>
      <w:bookmarkStart w:id="51" w:name="_Toc4645"/>
      <w:r>
        <w:rPr>
          <w:rFonts w:hint="eastAsia" w:ascii="楷体" w:hAnsi="楷体" w:eastAsia="楷体" w:cs="楷体"/>
        </w:rPr>
        <w:t>通知和送达</w:t>
      </w:r>
      <w:bookmarkEnd w:id="49"/>
      <w:bookmarkEnd w:id="50"/>
      <w:bookmarkEnd w:id="51"/>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2</w:t>
      </w:r>
      <w:r>
        <w:rPr>
          <w:rFonts w:hint="eastAsia" w:ascii="楷体" w:hAnsi="楷体" w:eastAsia="楷体" w:cs="楷体"/>
          <w:sz w:val="24"/>
        </w:rPr>
        <w:t>.1 联系信息以本协议首部记载为准。除非本协议另有规定，本协议项下双方之间的一切通知均应使用中文，通过专人、电子邮件、快递或传真送达。通知在下列日期视为到达日：</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hint="eastAsia" w:ascii="楷体" w:hAnsi="楷体" w:eastAsia="楷体" w:cs="楷体"/>
          <w:sz w:val="24"/>
        </w:rPr>
        <w:tab/>
      </w:r>
      <w:r>
        <w:rPr>
          <w:rFonts w:hint="eastAsia" w:ascii="楷体" w:hAnsi="楷体" w:eastAsia="楷体" w:cs="楷体"/>
          <w:sz w:val="24"/>
        </w:rPr>
        <w:t>由传真传送，收到回复码或成功发送确认条的情况下的第一个工作日视为送达；</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2)</w:t>
      </w:r>
      <w:r>
        <w:rPr>
          <w:rFonts w:hint="eastAsia" w:ascii="楷体" w:hAnsi="楷体" w:eastAsia="楷体" w:cs="楷体"/>
          <w:sz w:val="24"/>
        </w:rPr>
        <w:tab/>
      </w:r>
      <w:r>
        <w:rPr>
          <w:rFonts w:hint="eastAsia" w:ascii="楷体" w:hAnsi="楷体" w:eastAsia="楷体" w:cs="楷体"/>
          <w:sz w:val="24"/>
        </w:rPr>
        <w:t>由快递发送，寄出后第三日视为送达；</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3)</w:t>
      </w:r>
      <w:r>
        <w:rPr>
          <w:rFonts w:hint="eastAsia" w:ascii="楷体" w:hAnsi="楷体" w:eastAsia="楷体" w:cs="楷体"/>
          <w:sz w:val="24"/>
        </w:rPr>
        <w:tab/>
      </w:r>
      <w:r>
        <w:rPr>
          <w:rFonts w:hint="eastAsia" w:ascii="楷体" w:hAnsi="楷体" w:eastAsia="楷体" w:cs="楷体"/>
          <w:sz w:val="24"/>
        </w:rPr>
        <w:t>由专人递送，在送至相关地址时视为送达；</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4)</w:t>
      </w:r>
      <w:r>
        <w:rPr>
          <w:rFonts w:hint="eastAsia" w:ascii="楷体" w:hAnsi="楷体" w:eastAsia="楷体" w:cs="楷体"/>
          <w:sz w:val="24"/>
        </w:rPr>
        <w:tab/>
      </w:r>
      <w:r>
        <w:rPr>
          <w:rFonts w:hint="eastAsia" w:ascii="楷体" w:hAnsi="楷体" w:eastAsia="楷体" w:cs="楷体"/>
          <w:sz w:val="24"/>
        </w:rPr>
        <w:t>由电子邮件发送的，发件人邮件系统显示已成功发送之日。</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2</w:t>
      </w:r>
      <w:r>
        <w:rPr>
          <w:rFonts w:hint="eastAsia" w:ascii="楷体" w:hAnsi="楷体" w:eastAsia="楷体" w:cs="楷体"/>
          <w:sz w:val="24"/>
        </w:rPr>
        <w:t>.2 采取上述方式发送，若被通知方拒收，或因被通知方更改通讯方式但未按照本协议约定通知其他方导致通知无法送达的，则通知发出之日视为送达日。</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2</w:t>
      </w:r>
      <w:r>
        <w:rPr>
          <w:rFonts w:hint="eastAsia" w:ascii="楷体" w:hAnsi="楷体" w:eastAsia="楷体" w:cs="楷体"/>
          <w:sz w:val="24"/>
        </w:rPr>
        <w:t>.3 一方通讯地址或联络方式发生变化，应自发生变化之日起5日内以书面形式通知其他方。任何一方违反前述规定，除非法律另有规定，变动一方应对由此而造成的影响和损失承担责任。</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2</w:t>
      </w:r>
      <w:r>
        <w:rPr>
          <w:rFonts w:hint="eastAsia" w:ascii="楷体" w:hAnsi="楷体" w:eastAsia="楷体" w:cs="楷体"/>
          <w:sz w:val="24"/>
        </w:rPr>
        <w:t>.4 双方同意本协议首部约定的双方的通讯地址及联系方式（含根据本协议约定变更的地址及联系信息，下同）适用于争议解决阶段（包括但不限于仲裁或一审、二审、再审、执行等阶段），作为仲裁机构或人民法院法律文书及其他文件、信息的有效送达地址及接收方式。</w:t>
      </w:r>
    </w:p>
    <w:p>
      <w:pPr>
        <w:pStyle w:val="2"/>
        <w:numPr>
          <w:ilvl w:val="255"/>
          <w:numId w:val="0"/>
        </w:numPr>
        <w:tabs>
          <w:tab w:val="left" w:pos="2269"/>
        </w:tabs>
        <w:spacing w:before="156" w:beforeLines="50" w:after="156" w:afterLines="50" w:line="240" w:lineRule="auto"/>
        <w:ind w:firstLine="482" w:firstLineChars="200"/>
        <w:rPr>
          <w:rFonts w:ascii="楷体" w:hAnsi="楷体" w:eastAsia="楷体" w:cs="楷体"/>
        </w:rPr>
      </w:pPr>
      <w:bookmarkStart w:id="52" w:name="_Toc22573"/>
      <w:bookmarkStart w:id="53" w:name="_Toc73798382"/>
      <w:r>
        <w:rPr>
          <w:rFonts w:hint="eastAsia" w:ascii="楷体" w:hAnsi="楷体" w:eastAsia="楷体" w:cs="楷体"/>
        </w:rPr>
        <w:t>第1</w:t>
      </w:r>
      <w:r>
        <w:rPr>
          <w:rFonts w:ascii="楷体" w:hAnsi="楷体" w:eastAsia="楷体" w:cs="楷体"/>
        </w:rPr>
        <w:t>3</w:t>
      </w:r>
      <w:r>
        <w:rPr>
          <w:rFonts w:hint="eastAsia" w:ascii="楷体" w:hAnsi="楷体" w:eastAsia="楷体" w:cs="楷体"/>
        </w:rPr>
        <w:t xml:space="preserve">条 </w:t>
      </w:r>
      <w:bookmarkStart w:id="54" w:name="_Toc21963"/>
      <w:r>
        <w:rPr>
          <w:rFonts w:hint="eastAsia" w:ascii="楷体" w:hAnsi="楷体" w:eastAsia="楷体" w:cs="楷体"/>
        </w:rPr>
        <w:t>其他</w:t>
      </w:r>
      <w:bookmarkEnd w:id="52"/>
      <w:bookmarkEnd w:id="53"/>
      <w:bookmarkEnd w:id="54"/>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3</w:t>
      </w:r>
      <w:r>
        <w:rPr>
          <w:rFonts w:hint="eastAsia" w:ascii="楷体" w:hAnsi="楷体" w:eastAsia="楷体" w:cs="楷体"/>
          <w:sz w:val="24"/>
        </w:rPr>
        <w:t>.1 本协议自双方法定代表人或授权代表签字或签章并加盖公章或合同章之日起生效。</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3</w:t>
      </w:r>
      <w:r>
        <w:rPr>
          <w:rFonts w:hint="eastAsia" w:ascii="楷体" w:hAnsi="楷体" w:eastAsia="楷体" w:cs="楷体"/>
          <w:sz w:val="24"/>
        </w:rPr>
        <w:t>.2 本协议有效期至信托计划终止日止或甲方书面通知乙方终止监管服务之日止，具体监管终止日期以甲方书面通知为准。</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3</w:t>
      </w:r>
      <w:r>
        <w:rPr>
          <w:rFonts w:hint="eastAsia" w:ascii="楷体" w:hAnsi="楷体" w:eastAsia="楷体" w:cs="楷体"/>
          <w:sz w:val="24"/>
        </w:rPr>
        <w:t>.3 未经甲方书面同意，乙方不得将本协议项下的任何权利或义务转让给第三人。</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1</w:t>
      </w:r>
      <w:r>
        <w:rPr>
          <w:rFonts w:ascii="楷体" w:hAnsi="楷体" w:eastAsia="楷体" w:cs="楷体"/>
          <w:sz w:val="24"/>
        </w:rPr>
        <w:t>3</w:t>
      </w:r>
      <w:r>
        <w:rPr>
          <w:rFonts w:hint="eastAsia" w:ascii="楷体" w:hAnsi="楷体" w:eastAsia="楷体" w:cs="楷体"/>
          <w:sz w:val="24"/>
        </w:rPr>
        <w:t>.4如果乙方提供的服务不符合本协议的约定，且经甲方通知仍未进行整改，或者乙方在提供服务过程中有重大疏忽过错、故意隐瞒、提供虚假信息报告等情形的，或者甲方经提前10个工作日书面通知乙方的，甲方有权单方解除本协议，且无需因此承担任何违约责任。</w:t>
      </w:r>
    </w:p>
    <w:p>
      <w:pPr>
        <w:pStyle w:val="19"/>
        <w:tabs>
          <w:tab w:val="left" w:pos="284"/>
          <w:tab w:val="left" w:pos="426"/>
          <w:tab w:val="left" w:pos="567"/>
        </w:tabs>
        <w:adjustRightInd w:val="0"/>
        <w:snapToGrid w:val="0"/>
        <w:spacing w:before="156" w:beforeLines="50"/>
        <w:ind w:firstLine="480"/>
        <w:rPr>
          <w:rFonts w:ascii="楷体" w:hAnsi="楷体" w:eastAsia="楷体" w:cs="楷体"/>
          <w:sz w:val="24"/>
        </w:rPr>
      </w:pPr>
      <w:r>
        <w:rPr>
          <w:rFonts w:hint="eastAsia" w:ascii="楷体" w:hAnsi="楷体" w:eastAsia="楷体" w:cs="楷体"/>
          <w:sz w:val="24"/>
        </w:rPr>
        <w:t>13.5 鉴于本协议签署前，甲方与项目公司已签署编号为JHXT20210220046-RZ-DK01的《信托资金贷款合同》，编号为JHXT20210220046-RZ-DK01-BC01的《信托资金贷款合同（补充协议一）》，编号为JHXT20210220046-RZ-DY01、JHXT20210220046-RZ-DY02的《抵押合同》，编号为JHXT20210220046-RZ-BZ01的《保证合同》，编号为JHXT20210220046-RZ-ZJ01的《资金监管协议》。本协议签署后，原已签署各项合同及其补充协议的各项约定依然有效。</w:t>
      </w:r>
    </w:p>
    <w:p>
      <w:pPr>
        <w:adjustRightInd w:val="0"/>
        <w:snapToGrid w:val="0"/>
        <w:spacing w:before="156" w:beforeLines="50"/>
        <w:ind w:firstLine="480" w:firstLineChars="200"/>
        <w:jc w:val="left"/>
        <w:rPr>
          <w:rFonts w:ascii="楷体" w:hAnsi="楷体" w:eastAsia="楷体" w:cs="楷体"/>
          <w:sz w:val="24"/>
        </w:rPr>
      </w:pP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本协议一式肆份，甲、乙两方各执贰份，具有同等法律效力。</w:t>
      </w:r>
    </w:p>
    <w:p>
      <w:pPr>
        <w:adjustRightInd w:val="0"/>
        <w:snapToGrid w:val="0"/>
        <w:spacing w:before="156" w:beforeLines="50"/>
        <w:ind w:firstLine="480" w:firstLineChars="200"/>
        <w:jc w:val="left"/>
        <w:rPr>
          <w:rFonts w:ascii="楷体" w:hAnsi="楷体" w:eastAsia="楷体" w:cs="楷体"/>
          <w:sz w:val="24"/>
        </w:rPr>
      </w:pPr>
      <w:r>
        <w:rPr>
          <w:rFonts w:hint="eastAsia" w:ascii="楷体" w:hAnsi="楷体" w:eastAsia="楷体" w:cs="楷体"/>
          <w:sz w:val="24"/>
        </w:rPr>
        <w:t>（以下无正文，为本协议签署页）</w:t>
      </w:r>
    </w:p>
    <w:p>
      <w:pPr>
        <w:tabs>
          <w:tab w:val="left" w:pos="1620"/>
        </w:tabs>
        <w:spacing w:before="156" w:beforeLines="50"/>
        <w:rPr>
          <w:rFonts w:ascii="仿宋_GB2312" w:hAnsi="仿宋" w:eastAsia="仿宋_GB2312"/>
          <w:sz w:val="36"/>
          <w:szCs w:val="36"/>
        </w:rPr>
      </w:pPr>
    </w:p>
    <w:p>
      <w:pPr>
        <w:tabs>
          <w:tab w:val="left" w:pos="1620"/>
        </w:tabs>
        <w:spacing w:before="156" w:beforeLines="50"/>
        <w:rPr>
          <w:rFonts w:ascii="仿宋_GB2312" w:hAnsi="仿宋" w:eastAsia="仿宋_GB2312"/>
          <w:sz w:val="36"/>
          <w:szCs w:val="36"/>
        </w:rPr>
      </w:pPr>
    </w:p>
    <w:p>
      <w:pPr>
        <w:tabs>
          <w:tab w:val="left" w:pos="1620"/>
        </w:tabs>
        <w:spacing w:before="156" w:beforeLines="50" w:line="240" w:lineRule="atLeast"/>
        <w:rPr>
          <w:rFonts w:ascii="仿宋_GB2312" w:hAnsi="仿宋" w:eastAsia="仿宋_GB2312"/>
          <w:sz w:val="36"/>
          <w:szCs w:val="36"/>
        </w:rPr>
      </w:pPr>
    </w:p>
    <w:p>
      <w:pPr>
        <w:spacing w:before="156" w:beforeLines="50"/>
        <w:rPr>
          <w:rFonts w:eastAsia="楷体_GB2312"/>
          <w:sz w:val="24"/>
        </w:rPr>
      </w:pPr>
    </w:p>
    <w:p>
      <w:pPr>
        <w:spacing w:before="156" w:beforeLines="50"/>
        <w:rPr>
          <w:rFonts w:eastAsia="楷体_GB2312"/>
          <w:sz w:val="24"/>
        </w:rPr>
      </w:pPr>
      <w:r>
        <w:rPr>
          <w:rFonts w:hint="eastAsia" w:eastAsia="楷体_GB2312"/>
          <w:sz w:val="24"/>
        </w:rPr>
        <w:t>【本页无正文，为【编号为</w:t>
      </w:r>
      <w:r>
        <w:rPr>
          <w:rFonts w:ascii="楷体" w:hAnsi="楷体" w:eastAsia="楷体"/>
          <w:sz w:val="24"/>
        </w:rPr>
        <w:t>JHXT20210220046-RZ-</w:t>
      </w:r>
      <w:r>
        <w:rPr>
          <w:rFonts w:hint="eastAsia" w:ascii="楷体" w:hAnsi="楷体" w:eastAsia="楷体"/>
          <w:sz w:val="24"/>
        </w:rPr>
        <w:t>QT</w:t>
      </w:r>
      <w:r>
        <w:rPr>
          <w:rFonts w:ascii="楷体" w:hAnsi="楷体" w:eastAsia="楷体"/>
          <w:sz w:val="24"/>
        </w:rPr>
        <w:t>O1</w:t>
      </w:r>
      <w:r>
        <w:rPr>
          <w:rFonts w:hint="eastAsia" w:eastAsia="楷体_GB2312"/>
          <w:sz w:val="24"/>
        </w:rPr>
        <w:t>】的《项目监管协议》签署页】</w:t>
      </w:r>
    </w:p>
    <w:p>
      <w:pPr>
        <w:spacing w:before="156" w:beforeLines="50"/>
        <w:rPr>
          <w:rFonts w:eastAsia="楷体_GB2312"/>
          <w:sz w:val="24"/>
        </w:rPr>
      </w:pPr>
    </w:p>
    <w:p>
      <w:pPr>
        <w:spacing w:before="156" w:beforeLines="50"/>
        <w:ind w:firstLine="480" w:firstLineChars="200"/>
        <w:rPr>
          <w:rFonts w:eastAsia="楷体_GB2312"/>
          <w:sz w:val="24"/>
        </w:rPr>
      </w:pPr>
      <w:r>
        <w:rPr>
          <w:rFonts w:hint="eastAsia" w:eastAsia="楷体_GB2312" w:cs="楷体_GB2312"/>
          <w:sz w:val="24"/>
        </w:rPr>
        <w:t>甲方（盖章）</w:t>
      </w:r>
      <w:r>
        <w:rPr>
          <w:rFonts w:hint="eastAsia" w:eastAsia="楷体_GB2312"/>
          <w:sz w:val="24"/>
        </w:rPr>
        <w:t>：北方国际信托股份有限公司</w:t>
      </w:r>
    </w:p>
    <w:p>
      <w:pPr>
        <w:spacing w:before="156" w:beforeLines="50"/>
        <w:rPr>
          <w:rFonts w:eastAsia="楷体_GB2312"/>
          <w:sz w:val="24"/>
        </w:rPr>
      </w:pPr>
    </w:p>
    <w:p>
      <w:pPr>
        <w:spacing w:before="156" w:beforeLines="50"/>
        <w:ind w:firstLine="480" w:firstLineChars="200"/>
        <w:rPr>
          <w:rFonts w:eastAsia="楷体_GB2312"/>
          <w:color w:val="000000"/>
          <w:sz w:val="24"/>
        </w:rPr>
      </w:pPr>
      <w:r>
        <w:rPr>
          <w:rFonts w:hint="eastAsia" w:eastAsia="楷体_GB2312" w:cs="楷体_GB2312"/>
          <w:sz w:val="24"/>
        </w:rPr>
        <w:t>法定代表人</w:t>
      </w:r>
      <w:r>
        <w:rPr>
          <w:rFonts w:hint="eastAsia" w:eastAsia="楷体_GB2312"/>
          <w:sz w:val="24"/>
        </w:rPr>
        <w:t>或</w:t>
      </w:r>
      <w:r>
        <w:rPr>
          <w:rFonts w:hint="eastAsia" w:eastAsia="楷体_GB2312" w:cs="楷体_GB2312"/>
          <w:sz w:val="24"/>
        </w:rPr>
        <w:t>授权代表</w:t>
      </w:r>
      <w:r>
        <w:rPr>
          <w:rFonts w:hint="eastAsia" w:eastAsia="楷体_GB2312" w:cs="楷体_GB2312"/>
          <w:color w:val="000000"/>
          <w:sz w:val="24"/>
        </w:rPr>
        <w:t>（签章）</w:t>
      </w:r>
      <w:r>
        <w:rPr>
          <w:rFonts w:hint="eastAsia" w:eastAsia="楷体_GB2312"/>
          <w:sz w:val="24"/>
        </w:rPr>
        <w:t>：</w:t>
      </w:r>
    </w:p>
    <w:p>
      <w:pPr>
        <w:spacing w:before="156" w:beforeLines="50"/>
        <w:ind w:firstLine="480" w:firstLineChars="200"/>
        <w:rPr>
          <w:rFonts w:eastAsia="楷体_GB2312"/>
          <w:sz w:val="24"/>
        </w:rPr>
      </w:pPr>
    </w:p>
    <w:p>
      <w:pPr>
        <w:spacing w:before="156" w:beforeLines="50"/>
        <w:rPr>
          <w:rFonts w:eastAsia="楷体_GB2312"/>
          <w:sz w:val="24"/>
        </w:rPr>
      </w:pPr>
    </w:p>
    <w:p>
      <w:pPr>
        <w:spacing w:before="156" w:beforeLines="50"/>
        <w:rPr>
          <w:rFonts w:eastAsia="楷体_GB2312"/>
          <w:sz w:val="24"/>
        </w:rPr>
      </w:pPr>
    </w:p>
    <w:p>
      <w:pPr>
        <w:spacing w:before="156" w:beforeLines="50"/>
        <w:rPr>
          <w:rFonts w:eastAsia="楷体_GB2312"/>
          <w:sz w:val="24"/>
        </w:rPr>
      </w:pPr>
    </w:p>
    <w:p>
      <w:pPr>
        <w:spacing w:before="156" w:beforeLines="50"/>
        <w:ind w:firstLine="480" w:firstLineChars="200"/>
        <w:rPr>
          <w:rFonts w:eastAsia="楷体_GB2312"/>
          <w:sz w:val="24"/>
        </w:rPr>
      </w:pPr>
      <w:r>
        <w:rPr>
          <w:rFonts w:hint="eastAsia" w:eastAsia="楷体_GB2312" w:cs="楷体_GB2312"/>
          <w:sz w:val="24"/>
        </w:rPr>
        <w:t>乙方（盖章）：北京康信君安资产管理有限公司</w:t>
      </w: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r>
        <w:rPr>
          <w:rFonts w:hint="eastAsia" w:eastAsia="楷体_GB2312" w:cs="楷体_GB2312"/>
          <w:sz w:val="24"/>
        </w:rPr>
        <w:t>法定代表人</w:t>
      </w:r>
      <w:r>
        <w:rPr>
          <w:rFonts w:hint="eastAsia" w:eastAsia="楷体_GB2312"/>
          <w:sz w:val="24"/>
        </w:rPr>
        <w:t>或</w:t>
      </w:r>
      <w:r>
        <w:rPr>
          <w:rFonts w:hint="eastAsia" w:eastAsia="楷体_GB2312" w:cs="楷体_GB2312"/>
          <w:sz w:val="24"/>
        </w:rPr>
        <w:t>授权代表（签章）</w:t>
      </w:r>
      <w:r>
        <w:rPr>
          <w:rFonts w:hint="eastAsia" w:eastAsia="楷体_GB2312"/>
          <w:sz w:val="24"/>
        </w:rPr>
        <w:t>：</w:t>
      </w:r>
    </w:p>
    <w:p>
      <w:pPr>
        <w:spacing w:before="156" w:beforeLines="50"/>
        <w:rPr>
          <w:rFonts w:eastAsia="楷体_GB2312"/>
          <w:sz w:val="24"/>
        </w:rPr>
      </w:pPr>
    </w:p>
    <w:p>
      <w:pPr>
        <w:spacing w:before="156" w:beforeLines="50"/>
        <w:rPr>
          <w:rFonts w:eastAsia="楷体_GB2312"/>
          <w:sz w:val="24"/>
        </w:rPr>
      </w:pPr>
    </w:p>
    <w:p>
      <w:pPr>
        <w:spacing w:before="156" w:beforeLines="50"/>
        <w:rPr>
          <w:rFonts w:eastAsia="楷体_GB2312"/>
          <w:sz w:val="24"/>
        </w:rPr>
      </w:pPr>
    </w:p>
    <w:p>
      <w:pPr>
        <w:spacing w:before="156" w:beforeLines="50"/>
        <w:rPr>
          <w:rFonts w:eastAsia="楷体_GB2312"/>
          <w:sz w:val="24"/>
        </w:rPr>
      </w:pPr>
    </w:p>
    <w:p>
      <w:pPr>
        <w:spacing w:before="156" w:beforeLines="50"/>
        <w:ind w:firstLine="480" w:firstLineChars="200"/>
        <w:rPr>
          <w:rFonts w:eastAsia="楷体_GB2312"/>
          <w:sz w:val="24"/>
        </w:rPr>
      </w:pPr>
      <w:r>
        <w:rPr>
          <w:rFonts w:hint="eastAsia" w:eastAsia="楷体_GB2312"/>
          <w:sz w:val="24"/>
        </w:rPr>
        <w:t>签约时间：</w:t>
      </w:r>
      <w:r>
        <w:rPr>
          <w:rFonts w:eastAsia="楷体_GB2312"/>
          <w:sz w:val="24"/>
        </w:rPr>
        <w:t xml:space="preserve">   </w:t>
      </w:r>
      <w:r>
        <w:rPr>
          <w:rFonts w:hint="eastAsia" w:eastAsia="楷体_GB2312"/>
          <w:sz w:val="24"/>
        </w:rPr>
        <w:t xml:space="preserve">  </w:t>
      </w:r>
      <w:r>
        <w:rPr>
          <w:rFonts w:eastAsia="楷体_GB2312"/>
          <w:sz w:val="24"/>
        </w:rPr>
        <w:t xml:space="preserve"> </w:t>
      </w:r>
      <w:r>
        <w:rPr>
          <w:rFonts w:hint="eastAsia" w:eastAsia="楷体_GB2312"/>
          <w:sz w:val="24"/>
        </w:rPr>
        <w:t>年</w:t>
      </w:r>
      <w:r>
        <w:rPr>
          <w:rFonts w:eastAsia="楷体_GB2312"/>
          <w:sz w:val="24"/>
        </w:rPr>
        <w:t xml:space="preserve">    </w:t>
      </w:r>
      <w:r>
        <w:rPr>
          <w:rFonts w:hint="eastAsia" w:eastAsia="楷体_GB2312"/>
          <w:sz w:val="24"/>
        </w:rPr>
        <w:t>月</w:t>
      </w:r>
      <w:r>
        <w:rPr>
          <w:rFonts w:eastAsia="楷体_GB2312"/>
          <w:sz w:val="24"/>
        </w:rPr>
        <w:t xml:space="preserve">    </w:t>
      </w:r>
      <w:r>
        <w:rPr>
          <w:rFonts w:hint="eastAsia" w:eastAsia="楷体_GB2312"/>
          <w:sz w:val="24"/>
        </w:rPr>
        <w:t>日</w:t>
      </w:r>
      <w:r>
        <w:rPr>
          <w:rFonts w:eastAsia="楷体_GB2312"/>
          <w:sz w:val="24"/>
        </w:rPr>
        <w:tab/>
      </w:r>
      <w:r>
        <w:rPr>
          <w:rFonts w:eastAsia="楷体_GB2312"/>
          <w:sz w:val="24"/>
        </w:rPr>
        <w:tab/>
      </w:r>
      <w:r>
        <w:rPr>
          <w:rFonts w:eastAsia="楷体_GB2312"/>
          <w:sz w:val="24"/>
        </w:rPr>
        <w:tab/>
      </w:r>
      <w:r>
        <w:rPr>
          <w:rFonts w:eastAsia="楷体_GB2312"/>
          <w:sz w:val="24"/>
        </w:rPr>
        <w:tab/>
      </w:r>
    </w:p>
    <w:p>
      <w:pPr>
        <w:spacing w:before="156" w:beforeLines="50"/>
        <w:ind w:firstLine="480" w:firstLineChars="200"/>
        <w:rPr>
          <w:rFonts w:eastAsia="楷体_GB2312"/>
          <w:sz w:val="24"/>
        </w:rPr>
      </w:pPr>
      <w:r>
        <w:rPr>
          <w:rFonts w:hint="eastAsia" w:eastAsia="楷体_GB2312"/>
          <w:sz w:val="24"/>
        </w:rPr>
        <w:t>签署地：【天津市】</w:t>
      </w:r>
    </w:p>
    <w:p>
      <w:pPr>
        <w:spacing w:before="156" w:beforeLines="50"/>
        <w:ind w:firstLine="480" w:firstLineChars="200"/>
        <w:rPr>
          <w:rFonts w:eastAsia="楷体_GB2312"/>
          <w:sz w:val="24"/>
        </w:rPr>
      </w:pPr>
    </w:p>
    <w:p>
      <w:pPr>
        <w:spacing w:before="156" w:beforeLines="50"/>
        <w:jc w:val="left"/>
        <w:rPr>
          <w:rFonts w:ascii="楷体" w:hAnsi="楷体" w:eastAsia="楷体" w:cs="楷体"/>
          <w:b/>
          <w:sz w:val="24"/>
        </w:rPr>
      </w:pPr>
      <w:r>
        <w:rPr>
          <w:rFonts w:hint="eastAsia" w:ascii="楷体" w:hAnsi="楷体" w:eastAsia="楷体" w:cs="楷体"/>
          <w:b/>
          <w:sz w:val="24"/>
        </w:rPr>
        <w:br w:type="page"/>
      </w:r>
    </w:p>
    <w:p>
      <w:pPr>
        <w:rPr>
          <w:rFonts w:ascii="楷体" w:hAnsi="楷体" w:eastAsia="楷体"/>
          <w:bCs/>
          <w:sz w:val="24"/>
        </w:rPr>
      </w:pPr>
      <w:r>
        <w:rPr>
          <w:rFonts w:hint="eastAsia" w:ascii="楷体" w:hAnsi="楷体" w:eastAsia="楷体"/>
          <w:bCs/>
          <w:sz w:val="24"/>
        </w:rPr>
        <w:t>（本页为编号【</w:t>
      </w:r>
      <w:r>
        <w:rPr>
          <w:rFonts w:ascii="楷体" w:hAnsi="楷体" w:eastAsia="楷体"/>
          <w:sz w:val="24"/>
        </w:rPr>
        <w:t>JHXT20210220046-RZ-</w:t>
      </w:r>
      <w:r>
        <w:rPr>
          <w:rFonts w:hint="eastAsia" w:ascii="楷体" w:hAnsi="楷体" w:eastAsia="楷体"/>
          <w:sz w:val="24"/>
        </w:rPr>
        <w:t>QT</w:t>
      </w:r>
      <w:r>
        <w:rPr>
          <w:rFonts w:ascii="楷体" w:hAnsi="楷体" w:eastAsia="楷体"/>
          <w:sz w:val="24"/>
        </w:rPr>
        <w:t>O1</w:t>
      </w:r>
      <w:r>
        <w:rPr>
          <w:rFonts w:hint="eastAsia" w:ascii="楷体" w:hAnsi="楷体" w:eastAsia="楷体"/>
          <w:bCs/>
          <w:sz w:val="24"/>
        </w:rPr>
        <w:t>】</w:t>
      </w:r>
      <w:r>
        <w:rPr>
          <w:rFonts w:hint="eastAsia" w:eastAsia="楷体_GB2312"/>
          <w:sz w:val="24"/>
        </w:rPr>
        <w:t>的《项目监管协议》</w:t>
      </w:r>
      <w:r>
        <w:rPr>
          <w:rFonts w:hint="eastAsia" w:ascii="楷体" w:hAnsi="楷体" w:eastAsia="楷体"/>
          <w:bCs/>
          <w:sz w:val="24"/>
        </w:rPr>
        <w:t>之附件一）</w:t>
      </w:r>
    </w:p>
    <w:p>
      <w:pPr>
        <w:adjustRightInd w:val="0"/>
        <w:snapToGrid w:val="0"/>
        <w:spacing w:before="156" w:beforeLines="50"/>
        <w:jc w:val="left"/>
        <w:outlineLvl w:val="0"/>
        <w:rPr>
          <w:rFonts w:ascii="楷体" w:hAnsi="楷体" w:eastAsia="楷体" w:cs="楷体"/>
          <w:b/>
          <w:sz w:val="24"/>
        </w:rPr>
      </w:pPr>
      <w:bookmarkStart w:id="55" w:name="_Toc73798383"/>
      <w:r>
        <w:rPr>
          <w:rFonts w:hint="eastAsia" w:ascii="楷体" w:hAnsi="楷体" w:eastAsia="楷体" w:cs="楷体"/>
          <w:b/>
          <w:sz w:val="24"/>
        </w:rPr>
        <w:t>附件一：《审批细则》</w:t>
      </w:r>
      <w:bookmarkEnd w:id="55"/>
    </w:p>
    <w:p>
      <w:pPr>
        <w:widowControl/>
        <w:spacing w:before="156" w:beforeLines="50"/>
        <w:jc w:val="left"/>
        <w:rPr>
          <w:rFonts w:ascii="楷体" w:hAnsi="楷体" w:eastAsia="楷体"/>
          <w:bCs/>
          <w:sz w:val="24"/>
        </w:rPr>
      </w:pPr>
      <w:r>
        <w:rPr>
          <w:rFonts w:hint="eastAsia" w:ascii="楷体" w:hAnsi="楷体" w:eastAsia="楷体"/>
          <w:bCs/>
          <w:sz w:val="24"/>
        </w:rPr>
        <w:t>1.驻场人员自主审核类</w:t>
      </w:r>
    </w:p>
    <w:p>
      <w:pPr>
        <w:widowControl/>
        <w:spacing w:before="156" w:beforeLines="50"/>
        <w:jc w:val="left"/>
        <w:rPr>
          <w:rFonts w:ascii="楷体" w:hAnsi="楷体" w:eastAsia="楷体"/>
          <w:bCs/>
          <w:sz w:val="24"/>
        </w:rPr>
      </w:pPr>
      <w:r>
        <w:rPr>
          <w:rFonts w:hint="eastAsia" w:ascii="楷体" w:hAnsi="楷体" w:eastAsia="楷体"/>
          <w:bCs/>
          <w:sz w:val="24"/>
        </w:rPr>
        <w:t>1.1驻场人员自主审核类用印审批：</w:t>
      </w:r>
    </w:p>
    <w:p>
      <w:pPr>
        <w:widowControl/>
        <w:spacing w:before="156" w:beforeLines="50"/>
        <w:jc w:val="left"/>
        <w:rPr>
          <w:rFonts w:ascii="楷体" w:hAnsi="楷体" w:eastAsia="楷体"/>
          <w:bCs/>
          <w:sz w:val="24"/>
        </w:rPr>
      </w:pPr>
      <w:r>
        <w:rPr>
          <w:rFonts w:hint="eastAsia" w:ascii="楷体" w:hAnsi="楷体" w:eastAsia="楷体"/>
          <w:bCs/>
          <w:sz w:val="24"/>
        </w:rPr>
        <w:t xml:space="preserve">项目公司根据需求提交内部流程完整的用印申请，甲方授权驻场监管人员确认后，直接执行用印，并形成用印记录明细表，乙方按周向甲方报送用印登记事项记录。 </w:t>
      </w:r>
    </w:p>
    <w:p>
      <w:pPr>
        <w:widowControl/>
        <w:spacing w:before="156" w:beforeLines="50"/>
        <w:jc w:val="left"/>
        <w:rPr>
          <w:rFonts w:ascii="楷体" w:hAnsi="楷体" w:eastAsia="楷体"/>
          <w:bCs/>
          <w:sz w:val="24"/>
        </w:rPr>
      </w:pPr>
      <w:r>
        <w:rPr>
          <w:rFonts w:hint="eastAsia" w:ascii="楷体" w:hAnsi="楷体" w:eastAsia="楷体"/>
          <w:bCs/>
          <w:sz w:val="24"/>
        </w:rPr>
        <w:t>驻场人员自主审核类用印内容包括以下几个方面：</w:t>
      </w:r>
    </w:p>
    <w:tbl>
      <w:tblPr>
        <w:tblStyle w:val="9"/>
        <w:tblW w:w="8330" w:type="dxa"/>
        <w:jc w:val="center"/>
        <w:tblLayout w:type="autofit"/>
        <w:tblCellMar>
          <w:top w:w="0" w:type="dxa"/>
          <w:left w:w="108" w:type="dxa"/>
          <w:bottom w:w="0" w:type="dxa"/>
          <w:right w:w="108" w:type="dxa"/>
        </w:tblCellMar>
      </w:tblPr>
      <w:tblGrid>
        <w:gridCol w:w="966"/>
        <w:gridCol w:w="1251"/>
        <w:gridCol w:w="4820"/>
        <w:gridCol w:w="1293"/>
      </w:tblGrid>
      <w:tr>
        <w:tblPrEx>
          <w:tblCellMar>
            <w:top w:w="0" w:type="dxa"/>
            <w:left w:w="108" w:type="dxa"/>
            <w:bottom w:w="0" w:type="dxa"/>
            <w:right w:w="108" w:type="dxa"/>
          </w:tblCellMar>
        </w:tblPrEx>
        <w:trPr>
          <w:trHeight w:val="227" w:hRule="atLeast"/>
          <w:jc w:val="center"/>
        </w:trPr>
        <w:tc>
          <w:tcPr>
            <w:tcW w:w="96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用印审批</w:t>
            </w:r>
          </w:p>
        </w:tc>
        <w:tc>
          <w:tcPr>
            <w:tcW w:w="12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类别</w:t>
            </w: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相关用印内容</w:t>
            </w:r>
          </w:p>
        </w:tc>
        <w:tc>
          <w:tcPr>
            <w:tcW w:w="12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批复方式</w:t>
            </w: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现场用印类</w:t>
            </w: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认购书、预售/现售房屋买卖合同、房屋按揭担保合同</w:t>
            </w:r>
          </w:p>
        </w:tc>
        <w:tc>
          <w:tcPr>
            <w:tcW w:w="1293" w:type="dxa"/>
            <w:vMerge w:val="restart"/>
            <w:tcBorders>
              <w:top w:val="single" w:color="auto" w:sz="4" w:space="0"/>
              <w:left w:val="single" w:color="auto" w:sz="4" w:space="0"/>
              <w:right w:val="single" w:color="auto" w:sz="4" w:space="0"/>
            </w:tcBorders>
            <w:vAlign w:val="center"/>
          </w:tcPr>
          <w:p>
            <w:pPr>
              <w:widowControl/>
              <w:jc w:val="center"/>
              <w:rPr>
                <w:rFonts w:ascii="楷体" w:hAnsi="楷体" w:eastAsia="楷体" w:cs="宋体"/>
                <w:b/>
                <w:kern w:val="0"/>
                <w:sz w:val="18"/>
                <w:szCs w:val="18"/>
              </w:rPr>
            </w:pPr>
            <w:r>
              <w:rPr>
                <w:rFonts w:hint="eastAsia" w:ascii="楷体" w:hAnsi="楷体" w:eastAsia="楷体" w:cs="宋体"/>
                <w:b/>
                <w:kern w:val="0"/>
                <w:sz w:val="18"/>
                <w:szCs w:val="18"/>
              </w:rPr>
              <w:t>自主审核类</w:t>
            </w: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restart"/>
            <w:tcBorders>
              <w:top w:val="single" w:color="auto" w:sz="4" w:space="0"/>
              <w:left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营销类</w:t>
            </w: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催告函、挞定函</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认购说明/销售公示/资料说明类/装修交付委托协议</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推广合同、印刷类/制作类合同、营销中心装饰租赁合同、代理合同/渠道合同（单笔合同金额不超过【</w:t>
            </w:r>
            <w:r>
              <w:rPr>
                <w:rFonts w:ascii="楷体" w:hAnsi="楷体" w:eastAsia="楷体" w:cs="宋体"/>
                <w:kern w:val="0"/>
                <w:sz w:val="18"/>
                <w:szCs w:val="18"/>
              </w:rPr>
              <w:t>100</w:t>
            </w:r>
            <w:r>
              <w:rPr>
                <w:rFonts w:hint="eastAsia" w:ascii="楷体" w:hAnsi="楷体" w:eastAsia="楷体" w:cs="宋体"/>
                <w:kern w:val="0"/>
                <w:sz w:val="18"/>
                <w:szCs w:val="18"/>
              </w:rPr>
              <w:t>】万元，不含合同金额的框架协议也可自主审核）</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日常管理类</w:t>
            </w: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收入证明、离职证明、开卡证明、公积金封存申请等</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情况说明/各类通知说明/劳动解除协议、仲裁判决书等</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变更声明、授权委托书、劳动合同、任命通知、放假通知等</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其他政府各种公告、声明、调查表等</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restart"/>
            <w:tcBorders>
              <w:top w:val="single" w:color="auto" w:sz="4" w:space="0"/>
              <w:left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工程类</w:t>
            </w: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项目报建申报材料/申请表/政府部门模板式合同及其他材料/更名函</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竣工验收报告/证照复印件/人防、节能、防雷、环境、道路、消防、特种设备、工程分户验收等各专项验收资料</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材料验收/设备验收清单/材料检测报告</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工程验收/设备移交确认单/竣工验收政府备案资料</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开工申请/处罚通知书/罚款声明等</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工程量确认单/计价确认单/工作联系单/会议纪要/整改意见处理报告</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工程结算书（合同金额≥结算金额）</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vMerge w:val="continue"/>
            <w:tcBorders>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48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材料采购合同/安装合同/总包工程合同/分包合同/工程监理合同/工程造价咨询合同/其他不涉及改变原支付节点的工程合同（单月累计合同金额不超过</w:t>
            </w:r>
            <w:r>
              <w:rPr>
                <w:rFonts w:ascii="楷体" w:hAnsi="楷体" w:eastAsia="楷体" w:cs="宋体"/>
                <w:kern w:val="0"/>
                <w:sz w:val="18"/>
                <w:szCs w:val="18"/>
              </w:rPr>
              <w:t>300</w:t>
            </w:r>
            <w:r>
              <w:rPr>
                <w:rFonts w:hint="eastAsia" w:ascii="楷体" w:hAnsi="楷体" w:eastAsia="楷体" w:cs="宋体"/>
                <w:kern w:val="0"/>
                <w:sz w:val="18"/>
                <w:szCs w:val="18"/>
              </w:rPr>
              <w:t>万元）</w:t>
            </w:r>
          </w:p>
        </w:tc>
        <w:tc>
          <w:tcPr>
            <w:tcW w:w="1293"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27" w:hRule="atLeast"/>
          <w:jc w:val="center"/>
        </w:trPr>
        <w:tc>
          <w:tcPr>
            <w:tcW w:w="96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1251"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财务类</w:t>
            </w:r>
          </w:p>
        </w:tc>
        <w:tc>
          <w:tcPr>
            <w:tcW w:w="4820" w:type="dxa"/>
            <w:tcBorders>
              <w:top w:val="single" w:color="auto" w:sz="4" w:space="0"/>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银行对账单/余额对账单/纳税申报表及明细/财务报表/银行个人购房担保借款合同/询证函</w:t>
            </w:r>
          </w:p>
        </w:tc>
        <w:tc>
          <w:tcPr>
            <w:tcW w:w="1293" w:type="dxa"/>
            <w:vMerge w:val="continue"/>
            <w:tcBorders>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r>
    </w:tbl>
    <w:p>
      <w:pPr>
        <w:spacing w:before="156" w:beforeLines="50"/>
        <w:rPr>
          <w:rFonts w:ascii="楷体" w:hAnsi="楷体" w:eastAsia="楷体"/>
          <w:sz w:val="24"/>
        </w:rPr>
      </w:pPr>
      <w:r>
        <w:rPr>
          <w:rFonts w:hint="eastAsia" w:ascii="楷体" w:hAnsi="楷体" w:eastAsia="楷体"/>
          <w:sz w:val="24"/>
        </w:rPr>
        <w:t>1.2</w:t>
      </w:r>
      <w:r>
        <w:rPr>
          <w:rFonts w:hint="eastAsia" w:ascii="楷体" w:hAnsi="楷体" w:eastAsia="楷体"/>
          <w:bCs/>
          <w:sz w:val="24"/>
        </w:rPr>
        <w:t>驻场人员自主审核类</w:t>
      </w:r>
      <w:r>
        <w:rPr>
          <w:rFonts w:hint="eastAsia" w:ascii="楷体" w:hAnsi="楷体" w:eastAsia="楷体"/>
          <w:sz w:val="24"/>
        </w:rPr>
        <w:t>资金审批：</w:t>
      </w:r>
    </w:p>
    <w:p>
      <w:pPr>
        <w:spacing w:before="156" w:beforeLines="50"/>
        <w:rPr>
          <w:rFonts w:ascii="楷体" w:hAnsi="楷体" w:eastAsia="楷体"/>
          <w:sz w:val="24"/>
        </w:rPr>
      </w:pPr>
      <w:r>
        <w:rPr>
          <w:rFonts w:hint="eastAsia" w:ascii="楷体" w:hAnsi="楷体" w:eastAsia="楷体"/>
          <w:sz w:val="24"/>
        </w:rPr>
        <w:t>（1）对于项目公司在《月度资金使用计划》内且单笔低于【</w:t>
      </w:r>
      <w:r>
        <w:rPr>
          <w:rFonts w:ascii="楷体" w:hAnsi="楷体" w:eastAsia="楷体"/>
          <w:sz w:val="24"/>
        </w:rPr>
        <w:t>5</w:t>
      </w:r>
      <w:r>
        <w:rPr>
          <w:rFonts w:hint="eastAsia" w:ascii="楷体" w:hAnsi="楷体" w:eastAsia="楷体"/>
          <w:sz w:val="24"/>
        </w:rPr>
        <w:t>】万元（不含）（重复类支付需累计计算）用于标的项目建设的用款申请，乙方人员审核后无异议，可直接办理执行。乙方应对该类用款审核进行台账登记，每周以电子邮件形式发送至甲方指定邮箱(</w:t>
      </w:r>
      <w:r>
        <w:rPr>
          <w:rFonts w:ascii="楷体" w:hAnsi="楷体" w:eastAsia="楷体"/>
          <w:bCs/>
          <w:sz w:val="24"/>
        </w:rPr>
        <w:t>cuiyingchuan@nitic.cn</w:t>
      </w:r>
      <w:r>
        <w:rPr>
          <w:rFonts w:hint="eastAsia" w:ascii="楷体" w:hAnsi="楷体" w:eastAsia="楷体"/>
          <w:sz w:val="24"/>
        </w:rPr>
        <w:t>)。项目公司应于每笔支出前，将其内部资金审批流程及其相关支付材料提交至驻场监管人员。每个月末项目公司需将当月支出明细表提交至驻场监管人员，现场驻场人员需将其与银行对账单进行交叉复核。</w:t>
      </w:r>
    </w:p>
    <w:p>
      <w:pPr>
        <w:spacing w:before="156" w:beforeLines="50"/>
        <w:rPr>
          <w:rFonts w:ascii="楷体" w:hAnsi="楷体" w:eastAsia="楷体"/>
          <w:sz w:val="24"/>
        </w:rPr>
      </w:pPr>
      <w:r>
        <w:rPr>
          <w:rFonts w:hint="eastAsia" w:ascii="楷体" w:hAnsi="楷体" w:eastAsia="楷体"/>
          <w:sz w:val="24"/>
        </w:rPr>
        <w:t>（2）项目公司对于返还营销认筹金/意向金，需提前将其内部资金审批流程及其相关凭证材料提交至驻场监管人员，乙方审批后提交甲方予以支付。</w:t>
      </w:r>
    </w:p>
    <w:p>
      <w:pPr>
        <w:spacing w:before="156" w:beforeLines="50"/>
        <w:rPr>
          <w:rFonts w:ascii="楷体" w:hAnsi="楷体" w:eastAsia="楷体"/>
          <w:sz w:val="24"/>
        </w:rPr>
      </w:pPr>
      <w:r>
        <w:rPr>
          <w:rFonts w:hint="eastAsia" w:ascii="楷体" w:hAnsi="楷体" w:eastAsia="楷体"/>
          <w:sz w:val="24"/>
        </w:rPr>
        <w:t>2.甲方审核类</w:t>
      </w:r>
    </w:p>
    <w:p>
      <w:pPr>
        <w:spacing w:before="156" w:beforeLines="50"/>
        <w:rPr>
          <w:rFonts w:ascii="楷体" w:hAnsi="楷体" w:eastAsia="楷体"/>
          <w:sz w:val="24"/>
        </w:rPr>
      </w:pPr>
      <w:r>
        <w:rPr>
          <w:rFonts w:hint="eastAsia" w:ascii="楷体" w:hAnsi="楷体" w:eastAsia="楷体"/>
          <w:sz w:val="24"/>
        </w:rPr>
        <w:t>2.1甲方审核类用印审批：</w:t>
      </w:r>
    </w:p>
    <w:p>
      <w:pPr>
        <w:spacing w:before="156" w:beforeLines="50"/>
        <w:rPr>
          <w:rFonts w:ascii="楷体" w:hAnsi="楷体" w:eastAsia="楷体"/>
          <w:sz w:val="24"/>
        </w:rPr>
      </w:pPr>
      <w:r>
        <w:rPr>
          <w:rFonts w:hint="eastAsia" w:ascii="楷体" w:hAnsi="楷体" w:eastAsia="楷体"/>
          <w:sz w:val="24"/>
        </w:rPr>
        <w:t>项目公司根据需求提交内部流程完整的用印申请，驻场监管人员将相关用印材料整理后，上报甲方审核，由甲方确认是否用印。甲方审核类用印内容包括以下几个方面：</w:t>
      </w:r>
    </w:p>
    <w:tbl>
      <w:tblPr>
        <w:tblStyle w:val="9"/>
        <w:tblW w:w="8424" w:type="dxa"/>
        <w:jc w:val="right"/>
        <w:tblLayout w:type="autofit"/>
        <w:tblCellMar>
          <w:top w:w="0" w:type="dxa"/>
          <w:left w:w="108" w:type="dxa"/>
          <w:bottom w:w="0" w:type="dxa"/>
          <w:right w:w="108" w:type="dxa"/>
        </w:tblCellMar>
      </w:tblPr>
      <w:tblGrid>
        <w:gridCol w:w="1278"/>
        <w:gridCol w:w="851"/>
        <w:gridCol w:w="1417"/>
        <w:gridCol w:w="3544"/>
        <w:gridCol w:w="1334"/>
      </w:tblGrid>
      <w:tr>
        <w:tblPrEx>
          <w:tblCellMar>
            <w:top w:w="0" w:type="dxa"/>
            <w:left w:w="108" w:type="dxa"/>
            <w:bottom w:w="0" w:type="dxa"/>
            <w:right w:w="108" w:type="dxa"/>
          </w:tblCellMar>
        </w:tblPrEx>
        <w:trPr>
          <w:trHeight w:val="20" w:hRule="atLeast"/>
          <w:jc w:val="right"/>
        </w:trPr>
        <w:tc>
          <w:tcPr>
            <w:tcW w:w="127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用印审批</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类别</w:t>
            </w:r>
          </w:p>
        </w:tc>
        <w:tc>
          <w:tcPr>
            <w:tcW w:w="3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相关用印内容</w:t>
            </w:r>
          </w:p>
        </w:tc>
        <w:tc>
          <w:tcPr>
            <w:tcW w:w="13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b/>
                <w:bCs/>
                <w:kern w:val="0"/>
                <w:sz w:val="18"/>
                <w:szCs w:val="18"/>
              </w:rPr>
            </w:pPr>
            <w:r>
              <w:rPr>
                <w:rFonts w:hint="eastAsia" w:ascii="楷体" w:hAnsi="楷体" w:eastAsia="楷体" w:cs="宋体"/>
                <w:b/>
                <w:bCs/>
                <w:kern w:val="0"/>
                <w:sz w:val="18"/>
                <w:szCs w:val="18"/>
              </w:rPr>
              <w:t>批复方式</w:t>
            </w:r>
          </w:p>
        </w:tc>
      </w:tr>
      <w:tr>
        <w:tblPrEx>
          <w:tblCellMar>
            <w:top w:w="0" w:type="dxa"/>
            <w:left w:w="108" w:type="dxa"/>
            <w:bottom w:w="0" w:type="dxa"/>
            <w:right w:w="108" w:type="dxa"/>
          </w:tblCellMar>
        </w:tblPrEx>
        <w:trPr>
          <w:trHeight w:val="20" w:hRule="atLeast"/>
          <w:jc w:val="right"/>
        </w:trPr>
        <w:tc>
          <w:tcPr>
            <w:tcW w:w="1278"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22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财务类</w:t>
            </w:r>
          </w:p>
        </w:tc>
        <w:tc>
          <w:tcPr>
            <w:tcW w:w="3544"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汇票/支票/开户销户相关材料</w:t>
            </w:r>
          </w:p>
        </w:tc>
        <w:tc>
          <w:tcPr>
            <w:tcW w:w="1334" w:type="dxa"/>
            <w:vMerge w:val="restart"/>
            <w:tcBorders>
              <w:top w:val="single" w:color="auto" w:sz="4" w:space="0"/>
              <w:left w:val="single" w:color="auto" w:sz="4" w:space="0"/>
              <w:right w:val="single" w:color="auto" w:sz="4" w:space="0"/>
            </w:tcBorders>
            <w:vAlign w:val="center"/>
          </w:tcPr>
          <w:p>
            <w:pPr>
              <w:widowControl/>
              <w:jc w:val="center"/>
              <w:rPr>
                <w:rFonts w:ascii="楷体" w:hAnsi="楷体" w:eastAsia="楷体" w:cs="宋体"/>
                <w:b/>
                <w:kern w:val="0"/>
                <w:sz w:val="18"/>
                <w:szCs w:val="18"/>
              </w:rPr>
            </w:pPr>
            <w:r>
              <w:rPr>
                <w:rFonts w:hint="eastAsia" w:ascii="楷体" w:hAnsi="楷体" w:eastAsia="楷体" w:cs="宋体"/>
                <w:b/>
                <w:kern w:val="0"/>
                <w:sz w:val="18"/>
                <w:szCs w:val="18"/>
              </w:rPr>
              <w:t>甲方审核类</w:t>
            </w:r>
          </w:p>
        </w:tc>
      </w:tr>
      <w:tr>
        <w:tblPrEx>
          <w:tblCellMar>
            <w:top w:w="0" w:type="dxa"/>
            <w:left w:w="108" w:type="dxa"/>
            <w:bottom w:w="0" w:type="dxa"/>
            <w:right w:w="108" w:type="dxa"/>
          </w:tblCellMar>
        </w:tblPrEx>
        <w:trPr>
          <w:trHeight w:val="20" w:hRule="atLeast"/>
          <w:jc w:val="right"/>
        </w:trPr>
        <w:tc>
          <w:tcPr>
            <w:tcW w:w="1278"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22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3544"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资金使用申请书/资金使用计划表</w:t>
            </w:r>
          </w:p>
        </w:tc>
        <w:tc>
          <w:tcPr>
            <w:tcW w:w="1334"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0" w:hRule="atLeast"/>
          <w:jc w:val="right"/>
        </w:trPr>
        <w:tc>
          <w:tcPr>
            <w:tcW w:w="1278"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851" w:type="dxa"/>
            <w:vMerge w:val="restart"/>
            <w:tcBorders>
              <w:top w:val="single" w:color="auto" w:sz="4" w:space="0"/>
              <w:left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合同类</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工程合同且合同金额超过【</w:t>
            </w:r>
            <w:r>
              <w:rPr>
                <w:rFonts w:ascii="楷体" w:hAnsi="楷体" w:eastAsia="楷体" w:cs="宋体"/>
                <w:kern w:val="0"/>
                <w:sz w:val="18"/>
                <w:szCs w:val="18"/>
              </w:rPr>
              <w:t>300</w:t>
            </w:r>
            <w:r>
              <w:rPr>
                <w:rFonts w:hint="eastAsia" w:ascii="楷体" w:hAnsi="楷体" w:eastAsia="楷体" w:cs="宋体"/>
                <w:kern w:val="0"/>
                <w:sz w:val="18"/>
                <w:szCs w:val="18"/>
              </w:rPr>
              <w:t>】万元</w:t>
            </w:r>
          </w:p>
        </w:tc>
        <w:tc>
          <w:tcPr>
            <w:tcW w:w="3544" w:type="dxa"/>
            <w:tcBorders>
              <w:top w:val="single" w:color="auto" w:sz="4" w:space="0"/>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材料采购合同/安装合同/总包工程合同/分包合同/工程监理合同/工程造价咨询合同/其他工程合同</w:t>
            </w:r>
          </w:p>
        </w:tc>
        <w:tc>
          <w:tcPr>
            <w:tcW w:w="1334"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0" w:hRule="atLeast"/>
          <w:jc w:val="right"/>
        </w:trPr>
        <w:tc>
          <w:tcPr>
            <w:tcW w:w="1278"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8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工程结算书</w:t>
            </w:r>
          </w:p>
        </w:tc>
        <w:tc>
          <w:tcPr>
            <w:tcW w:w="3544"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工程结算书（合同金额＜结算金额）</w:t>
            </w:r>
          </w:p>
        </w:tc>
        <w:tc>
          <w:tcPr>
            <w:tcW w:w="1334"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0" w:hRule="atLeast"/>
          <w:jc w:val="right"/>
        </w:trPr>
        <w:tc>
          <w:tcPr>
            <w:tcW w:w="1278"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8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营销合同且合同金额超过【100】万元</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推广合同</w:t>
            </w:r>
            <w:r>
              <w:rPr>
                <w:rFonts w:hint="eastAsia" w:ascii="楷体" w:hAnsi="楷体" w:eastAsia="楷体" w:cs="宋体"/>
                <w:kern w:val="0"/>
                <w:sz w:val="18"/>
                <w:szCs w:val="18"/>
              </w:rPr>
              <w:br w:type="textWrapping"/>
            </w:r>
            <w:r>
              <w:rPr>
                <w:rFonts w:hint="eastAsia" w:ascii="楷体" w:hAnsi="楷体" w:eastAsia="楷体" w:cs="宋体"/>
                <w:kern w:val="0"/>
                <w:sz w:val="18"/>
                <w:szCs w:val="18"/>
              </w:rPr>
              <w:t>印刷类/制作类合同</w:t>
            </w:r>
            <w:r>
              <w:rPr>
                <w:rFonts w:hint="eastAsia" w:ascii="楷体" w:hAnsi="楷体" w:eastAsia="楷体" w:cs="宋体"/>
                <w:kern w:val="0"/>
                <w:sz w:val="18"/>
                <w:szCs w:val="18"/>
              </w:rPr>
              <w:br w:type="textWrapping"/>
            </w:r>
            <w:r>
              <w:rPr>
                <w:rFonts w:hint="eastAsia" w:ascii="楷体" w:hAnsi="楷体" w:eastAsia="楷体" w:cs="宋体"/>
                <w:kern w:val="0"/>
                <w:sz w:val="18"/>
                <w:szCs w:val="18"/>
              </w:rPr>
              <w:t>营销中心装饰租赁合同</w:t>
            </w:r>
          </w:p>
        </w:tc>
        <w:tc>
          <w:tcPr>
            <w:tcW w:w="1334"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0" w:hRule="atLeast"/>
          <w:jc w:val="right"/>
        </w:trPr>
        <w:tc>
          <w:tcPr>
            <w:tcW w:w="1278"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8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代理合同/渠道合同</w:t>
            </w:r>
          </w:p>
        </w:tc>
        <w:tc>
          <w:tcPr>
            <w:tcW w:w="1334"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0" w:hRule="atLeast"/>
          <w:jc w:val="right"/>
        </w:trPr>
        <w:tc>
          <w:tcPr>
            <w:tcW w:w="1278" w:type="dxa"/>
            <w:vMerge w:val="continue"/>
            <w:tcBorders>
              <w:left w:val="single" w:color="auto" w:sz="4" w:space="0"/>
              <w:right w:val="single" w:color="auto" w:sz="4" w:space="0"/>
            </w:tcBorders>
            <w:shd w:val="clear" w:color="auto" w:fill="auto"/>
            <w:vAlign w:val="center"/>
          </w:tcPr>
          <w:p>
            <w:pPr>
              <w:widowControl/>
              <w:jc w:val="left"/>
              <w:rPr>
                <w:rFonts w:ascii="楷体" w:hAnsi="楷体" w:eastAsia="楷体" w:cs="宋体"/>
                <w:kern w:val="0"/>
                <w:sz w:val="18"/>
                <w:szCs w:val="18"/>
              </w:rPr>
            </w:pPr>
          </w:p>
        </w:tc>
        <w:tc>
          <w:tcPr>
            <w:tcW w:w="851"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其他合同</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对外担保合同、对外投融资合同、对外出借资金合同、重大资产处置合同、重大资产收购合同、以标的项目销售收入作为还款来源加入第三方债务合同</w:t>
            </w:r>
          </w:p>
        </w:tc>
        <w:tc>
          <w:tcPr>
            <w:tcW w:w="1334" w:type="dxa"/>
            <w:vMerge w:val="continue"/>
            <w:tcBorders>
              <w:left w:val="single" w:color="auto" w:sz="4" w:space="0"/>
              <w:right w:val="single" w:color="auto" w:sz="4" w:space="0"/>
            </w:tcBorders>
            <w:vAlign w:val="center"/>
          </w:tcPr>
          <w:p>
            <w:pPr>
              <w:widowControl/>
              <w:jc w:val="left"/>
              <w:rPr>
                <w:rFonts w:ascii="楷体" w:hAnsi="楷体" w:eastAsia="楷体" w:cs="宋体"/>
                <w:kern w:val="0"/>
                <w:sz w:val="18"/>
                <w:szCs w:val="18"/>
              </w:rPr>
            </w:pPr>
          </w:p>
        </w:tc>
      </w:tr>
      <w:tr>
        <w:tblPrEx>
          <w:tblCellMar>
            <w:top w:w="0" w:type="dxa"/>
            <w:left w:w="108" w:type="dxa"/>
            <w:bottom w:w="0" w:type="dxa"/>
            <w:right w:w="108" w:type="dxa"/>
          </w:tblCellMar>
        </w:tblPrEx>
        <w:trPr>
          <w:trHeight w:val="20" w:hRule="atLeast"/>
          <w:jc w:val="right"/>
        </w:trPr>
        <w:tc>
          <w:tcPr>
            <w:tcW w:w="1278" w:type="dxa"/>
            <w:vMerge w:val="continue"/>
            <w:tcBorders>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18"/>
                <w:szCs w:val="18"/>
              </w:rPr>
            </w:pPr>
            <w:r>
              <w:rPr>
                <w:rFonts w:hint="eastAsia" w:ascii="楷体" w:hAnsi="楷体" w:eastAsia="楷体" w:cs="宋体"/>
                <w:kern w:val="0"/>
                <w:sz w:val="18"/>
                <w:szCs w:val="18"/>
              </w:rPr>
              <w:t>非合同类</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hint="eastAsia" w:ascii="楷体" w:hAnsi="楷体" w:eastAsia="楷体" w:cs="宋体"/>
                <w:kern w:val="0"/>
                <w:sz w:val="18"/>
                <w:szCs w:val="18"/>
              </w:rPr>
              <w:t>涉及工商登记等相关材料</w:t>
            </w:r>
          </w:p>
        </w:tc>
        <w:tc>
          <w:tcPr>
            <w:tcW w:w="1334" w:type="dxa"/>
            <w:vMerge w:val="continue"/>
            <w:tcBorders>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18"/>
                <w:szCs w:val="18"/>
              </w:rPr>
            </w:pPr>
          </w:p>
        </w:tc>
      </w:tr>
    </w:tbl>
    <w:p>
      <w:pPr>
        <w:spacing w:before="156" w:beforeLines="50"/>
        <w:rPr>
          <w:rFonts w:ascii="楷体" w:hAnsi="楷体" w:eastAsia="楷体"/>
          <w:sz w:val="24"/>
        </w:rPr>
      </w:pPr>
      <w:r>
        <w:rPr>
          <w:rFonts w:hint="eastAsia" w:ascii="楷体" w:hAnsi="楷体" w:eastAsia="楷体"/>
          <w:sz w:val="24"/>
        </w:rPr>
        <w:t>2.2甲方审核类证照外借审批：</w:t>
      </w:r>
    </w:p>
    <w:p>
      <w:pPr>
        <w:spacing w:before="156" w:beforeLines="50"/>
        <w:rPr>
          <w:rFonts w:ascii="楷体" w:hAnsi="楷体" w:eastAsia="楷体"/>
          <w:sz w:val="24"/>
        </w:rPr>
      </w:pPr>
      <w:r>
        <w:rPr>
          <w:rFonts w:hint="eastAsia" w:ascii="楷体" w:hAnsi="楷体" w:eastAsia="楷体"/>
          <w:sz w:val="24"/>
        </w:rPr>
        <w:t>项目公司根据使用需要办理登记借用手续，驻场监管人员核实确认，向甲方报批，根据甲方指令授权现场驻场监管人员陪同进行证照外借事项办理。（证照包括但不限于项目公司的企业法人营业执照（正、副本）、税务登记证（正、副本）、开户许可证、机构信用代码证、贷款卡等重要证照。）</w:t>
      </w:r>
    </w:p>
    <w:p>
      <w:pPr>
        <w:spacing w:before="156" w:beforeLines="50"/>
        <w:rPr>
          <w:rFonts w:ascii="楷体" w:hAnsi="楷体" w:eastAsia="楷体"/>
          <w:sz w:val="24"/>
        </w:rPr>
      </w:pPr>
      <w:r>
        <w:rPr>
          <w:rFonts w:hint="eastAsia" w:ascii="楷体" w:hAnsi="楷体" w:eastAsia="楷体"/>
          <w:sz w:val="24"/>
        </w:rPr>
        <w:t>2.3甲方审核类资金审批：</w:t>
      </w:r>
    </w:p>
    <w:p>
      <w:pPr>
        <w:spacing w:before="156" w:beforeLines="50"/>
        <w:rPr>
          <w:rFonts w:ascii="楷体" w:hAnsi="楷体" w:eastAsia="楷体"/>
          <w:sz w:val="24"/>
        </w:rPr>
      </w:pPr>
      <w:r>
        <w:rPr>
          <w:rFonts w:hint="eastAsia" w:ascii="楷体" w:hAnsi="楷体" w:eastAsia="楷体"/>
          <w:sz w:val="24"/>
        </w:rPr>
        <w:t>（1）项目公司应于每个自然月度开始前，编制下一月度的资金使用计划，并经驻场人员提出合理性建议报甲方审核确认。驻场人员应将每月月度资金使用计划和合理化建议（如有）于上个月底前提交甲方，甲方有权对月度资金使用计划提出变更或调整的要求。月度资金使用计划经甲方审批通过后作为驻场人员自主审核目标公司、项目公司资金使用的依据。</w:t>
      </w:r>
    </w:p>
    <w:p>
      <w:pPr>
        <w:spacing w:before="156" w:beforeLines="50"/>
        <w:rPr>
          <w:rFonts w:ascii="楷体" w:hAnsi="楷体" w:eastAsia="楷体"/>
          <w:sz w:val="24"/>
        </w:rPr>
      </w:pPr>
      <w:r>
        <w:rPr>
          <w:rFonts w:hint="eastAsia" w:ascii="楷体" w:hAnsi="楷体" w:eastAsia="楷体"/>
          <w:sz w:val="24"/>
        </w:rPr>
        <w:t>（2）除1.2条约定的以外，其他所有项目公司月度资金使用计划外的支出，需提交内部流程完整的资金支付申请，并经项目公司内部审批确认后，驻场监管人员将相关支付材料整理经乙方内部审查并给出操作建议后，上报甲方审核，由甲方确认是否予以支付，乙方根据甲方指令执行。</w:t>
      </w:r>
    </w:p>
    <w:p>
      <w:pPr>
        <w:spacing w:before="156" w:beforeLines="50"/>
        <w:rPr>
          <w:rFonts w:ascii="楷体" w:hAnsi="楷体" w:eastAsia="楷体"/>
          <w:sz w:val="24"/>
        </w:rPr>
      </w:pPr>
      <w:r>
        <w:rPr>
          <w:rFonts w:hint="eastAsia" w:ascii="楷体" w:hAnsi="楷体" w:eastAsia="楷体"/>
          <w:sz w:val="24"/>
        </w:rPr>
        <w:t>（3）驻场监管人员根据资金使用过程中对每项资金编号、资金使用时间、资金往来公司及账号、关联合同等细节内容形成资金使用台账，配合甲方提供不定期资金使用详情汇总。</w:t>
      </w:r>
    </w:p>
    <w:p>
      <w:pPr>
        <w:spacing w:before="156" w:beforeLines="50"/>
        <w:rPr>
          <w:rFonts w:ascii="楷体" w:hAnsi="楷体" w:eastAsia="楷体" w:cs="楷体"/>
          <w:b/>
          <w:sz w:val="24"/>
        </w:rPr>
      </w:pPr>
      <w:r>
        <w:rPr>
          <w:rFonts w:ascii="楷体" w:hAnsi="楷体" w:eastAsia="楷体" w:cs="楷体"/>
          <w:sz w:val="24"/>
        </w:rPr>
        <w:br w:type="page"/>
      </w:r>
      <w:r>
        <w:rPr>
          <w:rFonts w:hint="eastAsia" w:ascii="楷体" w:hAnsi="楷体" w:eastAsia="楷体" w:cs="楷体"/>
          <w:b/>
          <w:sz w:val="24"/>
        </w:rPr>
        <w:t>（本页为编号</w:t>
      </w:r>
      <w:r>
        <w:rPr>
          <w:rFonts w:hint="eastAsia" w:ascii="Times New Roman" w:hAnsi="Times New Roman" w:eastAsia="楷体_GB2312"/>
          <w:b/>
          <w:bCs/>
          <w:sz w:val="24"/>
        </w:rPr>
        <w:t>【</w:t>
      </w:r>
      <w:r>
        <w:rPr>
          <w:rFonts w:ascii="楷体" w:hAnsi="楷体" w:eastAsia="楷体"/>
          <w:sz w:val="24"/>
        </w:rPr>
        <w:t>JHXT20210220046-RZ-</w:t>
      </w:r>
      <w:r>
        <w:rPr>
          <w:rFonts w:hint="eastAsia" w:ascii="楷体" w:hAnsi="楷体" w:eastAsia="楷体"/>
          <w:sz w:val="24"/>
        </w:rPr>
        <w:t>QT</w:t>
      </w:r>
      <w:r>
        <w:rPr>
          <w:rFonts w:ascii="楷体" w:hAnsi="楷体" w:eastAsia="楷体"/>
          <w:sz w:val="24"/>
        </w:rPr>
        <w:t>O1</w:t>
      </w:r>
      <w:r>
        <w:rPr>
          <w:rFonts w:hint="eastAsia" w:ascii="Times New Roman" w:hAnsi="Times New Roman" w:eastAsia="楷体_GB2312"/>
          <w:b/>
          <w:bCs/>
          <w:sz w:val="24"/>
        </w:rPr>
        <w:t>】</w:t>
      </w:r>
      <w:r>
        <w:rPr>
          <w:rFonts w:hint="eastAsia" w:eastAsia="楷体_GB2312"/>
          <w:sz w:val="24"/>
        </w:rPr>
        <w:t>的《项目监管协议》</w:t>
      </w:r>
      <w:r>
        <w:rPr>
          <w:rFonts w:hint="eastAsia" w:ascii="楷体" w:hAnsi="楷体" w:eastAsia="楷体" w:cs="楷体"/>
          <w:b/>
          <w:sz w:val="24"/>
        </w:rPr>
        <w:t>之附件二）</w:t>
      </w:r>
    </w:p>
    <w:p>
      <w:pPr>
        <w:adjustRightInd w:val="0"/>
        <w:snapToGrid w:val="0"/>
        <w:spacing w:before="156" w:beforeLines="50"/>
        <w:jc w:val="left"/>
        <w:outlineLvl w:val="0"/>
        <w:rPr>
          <w:rFonts w:ascii="楷体" w:hAnsi="楷体" w:eastAsia="楷体" w:cs="楷体"/>
          <w:b/>
          <w:sz w:val="24"/>
        </w:rPr>
      </w:pPr>
      <w:bookmarkStart w:id="56" w:name="_Toc73798384"/>
      <w:r>
        <w:rPr>
          <w:rFonts w:hint="eastAsia" w:ascii="楷体" w:hAnsi="楷体" w:eastAsia="楷体" w:cs="楷体"/>
          <w:b/>
          <w:sz w:val="24"/>
        </w:rPr>
        <w:t>附件二：《周报目录》</w:t>
      </w:r>
      <w:bookmarkEnd w:id="56"/>
    </w:p>
    <w:p>
      <w:pPr>
        <w:spacing w:before="50"/>
        <w:rPr>
          <w:rFonts w:ascii="楷体" w:hAnsi="楷体" w:eastAsia="楷体"/>
          <w:sz w:val="24"/>
        </w:rPr>
      </w:pPr>
      <w:r>
        <w:rPr>
          <w:rFonts w:hint="eastAsia" w:ascii="楷体" w:hAnsi="楷体" w:eastAsia="楷体"/>
          <w:sz w:val="24"/>
        </w:rPr>
        <w:t>1)监管当周工作内容及重点事项披露（包含标的项目在监管月份重要事项如实汇报、风险事项披露及预警等）；</w:t>
      </w:r>
    </w:p>
    <w:p>
      <w:pPr>
        <w:spacing w:before="50"/>
        <w:rPr>
          <w:rFonts w:ascii="楷体" w:hAnsi="楷体" w:eastAsia="楷体"/>
          <w:sz w:val="24"/>
        </w:rPr>
      </w:pPr>
      <w:r>
        <w:rPr>
          <w:rFonts w:hint="eastAsia" w:ascii="楷体" w:hAnsi="楷体" w:eastAsia="楷体"/>
          <w:sz w:val="24"/>
        </w:rPr>
        <w:t>2)监管当周工程进度情况跟踪（包含项目总体进度跟踪、工程详细进度监管等）；</w:t>
      </w:r>
    </w:p>
    <w:p>
      <w:pPr>
        <w:spacing w:before="50"/>
        <w:rPr>
          <w:rFonts w:ascii="楷体" w:hAnsi="楷体" w:eastAsia="楷体"/>
          <w:sz w:val="24"/>
        </w:rPr>
      </w:pPr>
      <w:r>
        <w:rPr>
          <w:rFonts w:hint="eastAsia" w:ascii="楷体" w:hAnsi="楷体" w:eastAsia="楷体"/>
          <w:sz w:val="24"/>
        </w:rPr>
        <w:t>3)监管当周营销动态及销售回款跟踪（包括项目营销工作实时进度、销售情况跟踪、销售回款进度跟踪）；</w:t>
      </w:r>
    </w:p>
    <w:p>
      <w:pPr>
        <w:spacing w:before="50"/>
        <w:rPr>
          <w:rFonts w:ascii="楷体" w:hAnsi="楷体" w:eastAsia="楷体"/>
          <w:sz w:val="24"/>
        </w:rPr>
      </w:pPr>
      <w:r>
        <w:rPr>
          <w:rFonts w:hint="eastAsia" w:ascii="楷体" w:hAnsi="楷体" w:eastAsia="楷体"/>
          <w:sz w:val="24"/>
        </w:rPr>
        <w:t>4)资金使用情况跟踪（包括监管当周整体收支情况分析和资金使用计划执行情况等）；</w:t>
      </w:r>
    </w:p>
    <w:p>
      <w:pPr>
        <w:spacing w:before="50"/>
        <w:rPr>
          <w:rFonts w:ascii="楷体" w:hAnsi="楷体" w:eastAsia="楷体"/>
          <w:sz w:val="24"/>
        </w:rPr>
      </w:pPr>
      <w:r>
        <w:rPr>
          <w:rFonts w:hint="eastAsia" w:ascii="楷体" w:hAnsi="楷体" w:eastAsia="楷体"/>
          <w:sz w:val="24"/>
        </w:rPr>
        <w:t>5)用印管理跟踪（项目监管当周使用印鉴种类、用印内容明细）；</w:t>
      </w:r>
    </w:p>
    <w:p>
      <w:pPr>
        <w:spacing w:before="50"/>
        <w:rPr>
          <w:rFonts w:ascii="楷体" w:hAnsi="楷体" w:eastAsia="楷体"/>
          <w:sz w:val="24"/>
        </w:rPr>
      </w:pPr>
      <w:r>
        <w:rPr>
          <w:rFonts w:hint="eastAsia" w:ascii="楷体" w:hAnsi="楷体" w:eastAsia="楷体"/>
          <w:sz w:val="24"/>
        </w:rPr>
        <w:t>6)其他需说明内容（例如项目突发情况）。</w:t>
      </w:r>
    </w:p>
    <w:p>
      <w:pPr>
        <w:spacing w:before="50"/>
        <w:rPr>
          <w:rFonts w:ascii="楷体" w:hAnsi="楷体" w:eastAsia="楷体"/>
          <w:sz w:val="24"/>
        </w:rPr>
      </w:pPr>
    </w:p>
    <w:p>
      <w:pPr>
        <w:spacing w:line="600" w:lineRule="exact"/>
        <w:rPr>
          <w:rFonts w:ascii="楷体" w:hAnsi="楷体" w:eastAsia="楷体"/>
          <w:sz w:val="24"/>
        </w:rPr>
      </w:pPr>
    </w:p>
    <w:p>
      <w:pPr>
        <w:spacing w:before="156" w:beforeLines="50"/>
        <w:rPr>
          <w:rFonts w:ascii="楷体" w:hAnsi="楷体" w:eastAsia="楷体" w:cs="楷体"/>
          <w:b/>
          <w:sz w:val="24"/>
        </w:rPr>
      </w:pPr>
      <w:r>
        <w:rPr>
          <w:rFonts w:ascii="楷体" w:hAnsi="楷体" w:eastAsia="楷体" w:cs="楷体"/>
          <w:sz w:val="24"/>
        </w:rPr>
        <w:br w:type="page"/>
      </w:r>
      <w:r>
        <w:rPr>
          <w:rFonts w:hint="eastAsia" w:ascii="楷体" w:hAnsi="楷体" w:eastAsia="楷体" w:cs="楷体"/>
          <w:b/>
          <w:sz w:val="24"/>
        </w:rPr>
        <w:t>（本页为编号【</w:t>
      </w:r>
      <w:r>
        <w:rPr>
          <w:rFonts w:ascii="楷体" w:hAnsi="楷体" w:eastAsia="楷体"/>
          <w:sz w:val="24"/>
        </w:rPr>
        <w:t>JHXT20210220046-RZ-</w:t>
      </w:r>
      <w:r>
        <w:rPr>
          <w:rFonts w:hint="eastAsia" w:ascii="楷体" w:hAnsi="楷体" w:eastAsia="楷体"/>
          <w:sz w:val="24"/>
        </w:rPr>
        <w:t>QT</w:t>
      </w:r>
      <w:r>
        <w:rPr>
          <w:rFonts w:ascii="楷体" w:hAnsi="楷体" w:eastAsia="楷体"/>
          <w:sz w:val="24"/>
        </w:rPr>
        <w:t>O1</w:t>
      </w:r>
      <w:r>
        <w:rPr>
          <w:rFonts w:hint="eastAsia" w:ascii="楷体" w:hAnsi="楷体" w:eastAsia="楷体" w:cs="楷体"/>
          <w:b/>
          <w:sz w:val="24"/>
        </w:rPr>
        <w:t>】</w:t>
      </w:r>
      <w:r>
        <w:rPr>
          <w:rFonts w:hint="eastAsia" w:eastAsia="楷体_GB2312"/>
          <w:sz w:val="24"/>
        </w:rPr>
        <w:t>的《项目监管协议》</w:t>
      </w:r>
      <w:r>
        <w:rPr>
          <w:rFonts w:hint="eastAsia" w:ascii="楷体" w:hAnsi="楷体" w:eastAsia="楷体" w:cs="楷体"/>
          <w:b/>
          <w:sz w:val="24"/>
        </w:rPr>
        <w:t>之附件三）</w:t>
      </w:r>
    </w:p>
    <w:p>
      <w:pPr>
        <w:adjustRightInd w:val="0"/>
        <w:snapToGrid w:val="0"/>
        <w:spacing w:before="156" w:beforeLines="50"/>
        <w:jc w:val="left"/>
        <w:outlineLvl w:val="0"/>
        <w:rPr>
          <w:rFonts w:ascii="楷体" w:hAnsi="楷体" w:eastAsia="楷体" w:cs="楷体"/>
          <w:b/>
          <w:sz w:val="24"/>
        </w:rPr>
      </w:pPr>
      <w:bookmarkStart w:id="57" w:name="_Toc73798385"/>
      <w:r>
        <w:rPr>
          <w:rFonts w:hint="eastAsia" w:ascii="楷体" w:hAnsi="楷体" w:eastAsia="楷体" w:cs="楷体"/>
          <w:b/>
          <w:sz w:val="24"/>
        </w:rPr>
        <w:t>附件三：《月报目录》</w:t>
      </w:r>
      <w:bookmarkEnd w:id="57"/>
    </w:p>
    <w:p>
      <w:pPr>
        <w:spacing w:before="156" w:beforeLines="50"/>
        <w:rPr>
          <w:rFonts w:ascii="楷体" w:hAnsi="楷体" w:eastAsia="楷体"/>
          <w:sz w:val="24"/>
        </w:rPr>
      </w:pPr>
      <w:r>
        <w:rPr>
          <w:rFonts w:hint="eastAsia" w:ascii="楷体" w:hAnsi="楷体" w:eastAsia="楷体"/>
          <w:sz w:val="24"/>
        </w:rPr>
        <w:t>1)项目基本概况（包含标的项目区位概况、项目建设规模、项目五证获取情况等）；</w:t>
      </w:r>
    </w:p>
    <w:p>
      <w:pPr>
        <w:spacing w:before="156" w:beforeLines="50"/>
        <w:rPr>
          <w:rFonts w:ascii="楷体" w:hAnsi="楷体" w:eastAsia="楷体"/>
          <w:sz w:val="24"/>
        </w:rPr>
      </w:pPr>
      <w:r>
        <w:rPr>
          <w:rFonts w:hint="eastAsia" w:ascii="楷体" w:hAnsi="楷体" w:eastAsia="楷体"/>
          <w:sz w:val="24"/>
        </w:rPr>
        <w:t>2)监管当月工作内容及重点事项披露（包含标的项目在监管月份重要事项如实汇报、风险事项披露及预警等）；</w:t>
      </w:r>
    </w:p>
    <w:p>
      <w:pPr>
        <w:spacing w:before="156" w:beforeLines="50"/>
        <w:rPr>
          <w:rFonts w:ascii="楷体" w:hAnsi="楷体" w:eastAsia="楷体"/>
          <w:sz w:val="24"/>
        </w:rPr>
      </w:pPr>
      <w:r>
        <w:rPr>
          <w:rFonts w:hint="eastAsia" w:ascii="楷体" w:hAnsi="楷体" w:eastAsia="楷体"/>
          <w:sz w:val="24"/>
        </w:rPr>
        <w:t>3)当地房地产重大事项及政策分析、标的项目竞品市场分析等；</w:t>
      </w:r>
    </w:p>
    <w:p>
      <w:pPr>
        <w:spacing w:before="156" w:beforeLines="50"/>
        <w:rPr>
          <w:rFonts w:ascii="楷体" w:hAnsi="楷体" w:eastAsia="楷体"/>
          <w:sz w:val="24"/>
        </w:rPr>
      </w:pPr>
      <w:r>
        <w:rPr>
          <w:rFonts w:hint="eastAsia" w:ascii="楷体" w:hAnsi="楷体" w:eastAsia="楷体"/>
          <w:sz w:val="24"/>
        </w:rPr>
        <w:t>4)工程进度情况跟踪（包含项目总体进度跟踪、工程详细进度监管、下月工程进度计划等）；</w:t>
      </w:r>
    </w:p>
    <w:p>
      <w:pPr>
        <w:spacing w:before="156" w:beforeLines="50"/>
        <w:rPr>
          <w:rFonts w:ascii="楷体" w:hAnsi="楷体" w:eastAsia="楷体"/>
          <w:sz w:val="24"/>
        </w:rPr>
      </w:pPr>
      <w:r>
        <w:rPr>
          <w:rFonts w:hint="eastAsia" w:ascii="楷体" w:hAnsi="楷体" w:eastAsia="楷体"/>
          <w:sz w:val="24"/>
        </w:rPr>
        <w:t>5)营销动态及销售回款跟踪（包括项目营销工作实时进度、销售情况跟踪、销售回款进度跟踪）；</w:t>
      </w:r>
    </w:p>
    <w:p>
      <w:pPr>
        <w:spacing w:before="156" w:beforeLines="50"/>
        <w:rPr>
          <w:rFonts w:ascii="楷体" w:hAnsi="楷体" w:eastAsia="楷体"/>
          <w:sz w:val="24"/>
        </w:rPr>
      </w:pPr>
      <w:r>
        <w:rPr>
          <w:rFonts w:hint="eastAsia" w:ascii="楷体" w:hAnsi="楷体" w:eastAsia="楷体"/>
          <w:sz w:val="24"/>
        </w:rPr>
        <w:t>6)资金使用情况跟踪（包括项目上月整体收支情况分析和下月资金使用计划等）；</w:t>
      </w:r>
    </w:p>
    <w:p>
      <w:pPr>
        <w:spacing w:before="156" w:beforeLines="50"/>
        <w:rPr>
          <w:rFonts w:ascii="楷体" w:hAnsi="楷体" w:eastAsia="楷体"/>
          <w:sz w:val="24"/>
        </w:rPr>
      </w:pPr>
      <w:r>
        <w:rPr>
          <w:rFonts w:hint="eastAsia" w:ascii="楷体" w:hAnsi="楷体" w:eastAsia="楷体"/>
          <w:sz w:val="24"/>
        </w:rPr>
        <w:t>7)用印管理跟踪（项目上月使用印鉴种类、用印内容明细）；</w:t>
      </w:r>
    </w:p>
    <w:p>
      <w:pPr>
        <w:spacing w:before="156" w:beforeLines="50"/>
        <w:rPr>
          <w:rFonts w:ascii="楷体" w:hAnsi="楷体" w:eastAsia="楷体"/>
          <w:sz w:val="24"/>
        </w:rPr>
      </w:pPr>
      <w:r>
        <w:rPr>
          <w:rFonts w:hint="eastAsia" w:ascii="楷体" w:hAnsi="楷体" w:eastAsia="楷体"/>
          <w:sz w:val="24"/>
        </w:rPr>
        <w:t>8)其他需说明内容（例如项目突发情况）。</w:t>
      </w:r>
    </w:p>
    <w:p>
      <w:pPr>
        <w:spacing w:before="156" w:beforeLines="50"/>
        <w:ind w:firstLine="480" w:firstLineChars="200"/>
        <w:jc w:val="left"/>
        <w:rPr>
          <w:rFonts w:ascii="楷体" w:hAnsi="楷体" w:eastAsia="楷体" w:cs="楷体"/>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ind w:firstLine="480" w:firstLineChars="200"/>
        <w:rPr>
          <w:rFonts w:eastAsia="楷体_GB2312"/>
          <w:sz w:val="24"/>
        </w:rPr>
      </w:pPr>
    </w:p>
    <w:p>
      <w:pPr>
        <w:spacing w:before="156" w:beforeLines="50"/>
        <w:rPr>
          <w:rFonts w:eastAsia="楷体_GB2312"/>
          <w:sz w:val="24"/>
        </w:rPr>
      </w:pPr>
    </w:p>
    <w:p>
      <w:pPr>
        <w:spacing w:before="156" w:beforeLines="50"/>
        <w:jc w:val="left"/>
        <w:rPr>
          <w:rFonts w:ascii="楷体" w:hAnsi="楷体" w:eastAsia="楷体" w:cs="楷体"/>
          <w:b/>
          <w:sz w:val="24"/>
        </w:rPr>
      </w:pPr>
      <w:r>
        <w:rPr>
          <w:rFonts w:hint="eastAsia" w:ascii="楷体" w:hAnsi="楷体" w:eastAsia="楷体" w:cs="楷体"/>
          <w:b/>
          <w:sz w:val="24"/>
        </w:rPr>
        <w:t>（本页为编号【</w:t>
      </w:r>
      <w:r>
        <w:rPr>
          <w:rFonts w:ascii="楷体" w:hAnsi="楷体" w:eastAsia="楷体"/>
          <w:sz w:val="24"/>
        </w:rPr>
        <w:t>JHXT20210220046-RZ-</w:t>
      </w:r>
      <w:r>
        <w:rPr>
          <w:rFonts w:hint="eastAsia" w:ascii="楷体" w:hAnsi="楷体" w:eastAsia="楷体"/>
          <w:sz w:val="24"/>
        </w:rPr>
        <w:t>QT</w:t>
      </w:r>
      <w:r>
        <w:rPr>
          <w:rFonts w:ascii="楷体" w:hAnsi="楷体" w:eastAsia="楷体"/>
          <w:sz w:val="24"/>
        </w:rPr>
        <w:t>O1</w:t>
      </w:r>
      <w:r>
        <w:rPr>
          <w:rFonts w:hint="eastAsia" w:ascii="楷体" w:hAnsi="楷体" w:eastAsia="楷体" w:cs="楷体"/>
          <w:b/>
          <w:sz w:val="24"/>
        </w:rPr>
        <w:t>】</w:t>
      </w:r>
      <w:r>
        <w:rPr>
          <w:rFonts w:hint="eastAsia" w:eastAsia="楷体_GB2312"/>
          <w:sz w:val="24"/>
        </w:rPr>
        <w:t>的《项目监管协议》</w:t>
      </w:r>
      <w:r>
        <w:rPr>
          <w:rFonts w:hint="eastAsia" w:ascii="楷体" w:hAnsi="楷体" w:eastAsia="楷体" w:cs="楷体"/>
          <w:b/>
          <w:sz w:val="24"/>
        </w:rPr>
        <w:t>之附件四）</w:t>
      </w:r>
    </w:p>
    <w:p>
      <w:pPr>
        <w:adjustRightInd w:val="0"/>
        <w:snapToGrid w:val="0"/>
        <w:spacing w:before="156" w:beforeLines="50"/>
        <w:jc w:val="left"/>
        <w:outlineLvl w:val="0"/>
        <w:rPr>
          <w:rFonts w:ascii="楷体" w:hAnsi="楷体" w:eastAsia="楷体" w:cs="楷体"/>
          <w:b/>
          <w:sz w:val="24"/>
        </w:rPr>
      </w:pPr>
      <w:bookmarkStart w:id="58" w:name="_Toc73798386"/>
      <w:r>
        <w:rPr>
          <w:rFonts w:hint="eastAsia" w:ascii="楷体" w:hAnsi="楷体" w:eastAsia="楷体" w:cs="楷体"/>
          <w:b/>
          <w:sz w:val="24"/>
        </w:rPr>
        <w:t>附件四：《授权通知书》</w:t>
      </w:r>
      <w:bookmarkEnd w:id="58"/>
    </w:p>
    <w:p>
      <w:pPr>
        <w:spacing w:line="360" w:lineRule="auto"/>
        <w:jc w:val="center"/>
        <w:rPr>
          <w:rFonts w:ascii="楷体" w:hAnsi="楷体" w:eastAsia="楷体"/>
          <w:sz w:val="24"/>
        </w:rPr>
      </w:pPr>
      <w:r>
        <w:rPr>
          <w:rFonts w:hint="eastAsia" w:ascii="楷体" w:hAnsi="楷体" w:eastAsia="楷体" w:cs="楷体"/>
          <w:b/>
          <w:sz w:val="24"/>
        </w:rPr>
        <w:t>授权通知书</w:t>
      </w:r>
    </w:p>
    <w:p>
      <w:pPr>
        <w:spacing w:line="360" w:lineRule="auto"/>
        <w:rPr>
          <w:rFonts w:ascii="楷体" w:hAnsi="楷体" w:eastAsia="楷体"/>
          <w:sz w:val="24"/>
        </w:rPr>
      </w:pPr>
      <w:r>
        <w:rPr>
          <w:rFonts w:hint="eastAsia" w:ascii="楷体" w:hAnsi="楷体" w:eastAsia="楷体"/>
          <w:sz w:val="24"/>
        </w:rPr>
        <w:t>北方国际信托股份有限公司：</w:t>
      </w:r>
    </w:p>
    <w:p>
      <w:pPr>
        <w:spacing w:line="360" w:lineRule="auto"/>
        <w:ind w:firstLine="480"/>
        <w:rPr>
          <w:rFonts w:ascii="楷体" w:hAnsi="楷体" w:eastAsia="楷体"/>
          <w:sz w:val="24"/>
        </w:rPr>
      </w:pPr>
      <w:r>
        <w:rPr>
          <w:rFonts w:hint="eastAsia" w:ascii="楷体" w:hAnsi="楷体" w:eastAsia="楷体"/>
          <w:sz w:val="24"/>
        </w:rPr>
        <w:t>根据编号为</w:t>
      </w:r>
      <w:r>
        <w:rPr>
          <w:rFonts w:hint="eastAsia" w:ascii="Times New Roman" w:hAnsi="Times New Roman" w:eastAsia="楷体_GB2312"/>
          <w:sz w:val="24"/>
        </w:rPr>
        <w:t>【</w:t>
      </w:r>
      <w:r>
        <w:rPr>
          <w:rFonts w:ascii="楷体" w:hAnsi="楷体" w:eastAsia="楷体"/>
          <w:sz w:val="24"/>
        </w:rPr>
        <w:t>JHXT20210220046-RZ-</w:t>
      </w:r>
      <w:r>
        <w:rPr>
          <w:rFonts w:hint="eastAsia" w:ascii="楷体" w:hAnsi="楷体" w:eastAsia="楷体"/>
          <w:sz w:val="24"/>
        </w:rPr>
        <w:t>QT</w:t>
      </w:r>
      <w:r>
        <w:rPr>
          <w:rFonts w:ascii="楷体" w:hAnsi="楷体" w:eastAsia="楷体"/>
          <w:sz w:val="24"/>
        </w:rPr>
        <w:t>O1</w:t>
      </w:r>
      <w:r>
        <w:rPr>
          <w:rFonts w:hint="eastAsia" w:ascii="Times New Roman" w:hAnsi="Times New Roman" w:eastAsia="楷体_GB2312"/>
          <w:sz w:val="24"/>
        </w:rPr>
        <w:t>】的</w:t>
      </w:r>
      <w:r>
        <w:rPr>
          <w:rFonts w:hint="eastAsia" w:ascii="楷体" w:hAnsi="楷体" w:eastAsia="楷体"/>
          <w:sz w:val="24"/>
        </w:rPr>
        <w:t>《项目监管协议》，我司授权以下人员作为现场监管人员。现将有关人员信息及签字样本留给贵司，请在使用时核验。上述被授权人在授权范围内向贵司发送文件的真实性、准确性及合法性由我司负全部责任。</w:t>
      </w:r>
    </w:p>
    <w:tbl>
      <w:tblPr>
        <w:tblStyle w:val="9"/>
        <w:tblW w:w="8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038"/>
        <w:gridCol w:w="2038"/>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tcPr>
          <w:p>
            <w:pPr>
              <w:spacing w:line="360" w:lineRule="auto"/>
              <w:jc w:val="center"/>
              <w:rPr>
                <w:rFonts w:ascii="楷体" w:hAnsi="楷体" w:eastAsia="楷体"/>
                <w:sz w:val="24"/>
              </w:rPr>
            </w:pPr>
            <w:r>
              <w:rPr>
                <w:rFonts w:hint="eastAsia" w:ascii="楷体" w:hAnsi="楷体" w:eastAsia="楷体"/>
                <w:sz w:val="24"/>
              </w:rPr>
              <w:t>姓名</w:t>
            </w:r>
          </w:p>
        </w:tc>
        <w:tc>
          <w:tcPr>
            <w:tcW w:w="2038" w:type="dxa"/>
          </w:tcPr>
          <w:p>
            <w:pPr>
              <w:spacing w:line="360" w:lineRule="auto"/>
              <w:jc w:val="center"/>
              <w:rPr>
                <w:rFonts w:ascii="楷体" w:hAnsi="楷体" w:eastAsia="楷体"/>
                <w:sz w:val="24"/>
              </w:rPr>
            </w:pPr>
            <w:r>
              <w:rPr>
                <w:rFonts w:hint="eastAsia" w:ascii="楷体" w:hAnsi="楷体" w:eastAsia="楷体"/>
                <w:sz w:val="24"/>
              </w:rPr>
              <w:t>身份证号码</w:t>
            </w:r>
          </w:p>
        </w:tc>
        <w:tc>
          <w:tcPr>
            <w:tcW w:w="2038" w:type="dxa"/>
          </w:tcPr>
          <w:p>
            <w:pPr>
              <w:spacing w:line="360" w:lineRule="auto"/>
              <w:jc w:val="center"/>
              <w:rPr>
                <w:rFonts w:ascii="楷体" w:hAnsi="楷体" w:eastAsia="楷体"/>
                <w:sz w:val="24"/>
              </w:rPr>
            </w:pPr>
            <w:r>
              <w:rPr>
                <w:rFonts w:hint="eastAsia" w:ascii="楷体" w:hAnsi="楷体" w:eastAsia="楷体"/>
                <w:sz w:val="24"/>
              </w:rPr>
              <w:t>联系电话</w:t>
            </w:r>
          </w:p>
        </w:tc>
        <w:tc>
          <w:tcPr>
            <w:tcW w:w="2039" w:type="dxa"/>
          </w:tcPr>
          <w:p>
            <w:pPr>
              <w:spacing w:line="360" w:lineRule="auto"/>
              <w:jc w:val="center"/>
              <w:rPr>
                <w:rFonts w:ascii="楷体" w:hAnsi="楷体" w:eastAsia="楷体"/>
                <w:sz w:val="24"/>
              </w:rPr>
            </w:pPr>
            <w:r>
              <w:rPr>
                <w:rFonts w:hint="eastAsia" w:ascii="楷体" w:hAnsi="楷体" w:eastAsia="楷体"/>
                <w:sz w:val="24"/>
              </w:rPr>
              <w:t>签字样本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tcPr>
          <w:p>
            <w:pPr>
              <w:spacing w:line="360" w:lineRule="auto"/>
              <w:rPr>
                <w:rFonts w:ascii="楷体" w:hAnsi="楷体" w:eastAsia="楷体"/>
                <w:sz w:val="24"/>
              </w:rPr>
            </w:pPr>
          </w:p>
        </w:tc>
        <w:tc>
          <w:tcPr>
            <w:tcW w:w="2038" w:type="dxa"/>
          </w:tcPr>
          <w:p>
            <w:pPr>
              <w:spacing w:line="360" w:lineRule="auto"/>
              <w:rPr>
                <w:rFonts w:ascii="楷体" w:hAnsi="楷体" w:eastAsia="楷体"/>
                <w:sz w:val="24"/>
              </w:rPr>
            </w:pPr>
          </w:p>
        </w:tc>
        <w:tc>
          <w:tcPr>
            <w:tcW w:w="2038" w:type="dxa"/>
          </w:tcPr>
          <w:p>
            <w:pPr>
              <w:spacing w:line="360" w:lineRule="auto"/>
              <w:rPr>
                <w:rFonts w:ascii="楷体" w:hAnsi="楷体" w:eastAsia="楷体"/>
                <w:sz w:val="24"/>
              </w:rPr>
            </w:pPr>
          </w:p>
        </w:tc>
        <w:tc>
          <w:tcPr>
            <w:tcW w:w="2039" w:type="dxa"/>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tcPr>
          <w:p>
            <w:pPr>
              <w:spacing w:line="360" w:lineRule="auto"/>
              <w:rPr>
                <w:rFonts w:ascii="楷体" w:hAnsi="楷体" w:eastAsia="楷体"/>
                <w:sz w:val="24"/>
              </w:rPr>
            </w:pPr>
          </w:p>
        </w:tc>
        <w:tc>
          <w:tcPr>
            <w:tcW w:w="2038" w:type="dxa"/>
          </w:tcPr>
          <w:p>
            <w:pPr>
              <w:spacing w:line="360" w:lineRule="auto"/>
              <w:rPr>
                <w:rFonts w:ascii="楷体" w:hAnsi="楷体" w:eastAsia="楷体"/>
                <w:sz w:val="24"/>
              </w:rPr>
            </w:pPr>
          </w:p>
        </w:tc>
        <w:tc>
          <w:tcPr>
            <w:tcW w:w="2038" w:type="dxa"/>
          </w:tcPr>
          <w:p>
            <w:pPr>
              <w:spacing w:line="360" w:lineRule="auto"/>
              <w:rPr>
                <w:rFonts w:ascii="楷体" w:hAnsi="楷体" w:eastAsia="楷体"/>
                <w:sz w:val="24"/>
              </w:rPr>
            </w:pPr>
          </w:p>
        </w:tc>
        <w:tc>
          <w:tcPr>
            <w:tcW w:w="2039" w:type="dxa"/>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tcPr>
          <w:p>
            <w:pPr>
              <w:spacing w:line="360" w:lineRule="auto"/>
              <w:rPr>
                <w:rFonts w:ascii="楷体" w:hAnsi="楷体" w:eastAsia="楷体"/>
                <w:sz w:val="24"/>
              </w:rPr>
            </w:pPr>
          </w:p>
        </w:tc>
        <w:tc>
          <w:tcPr>
            <w:tcW w:w="2038" w:type="dxa"/>
          </w:tcPr>
          <w:p>
            <w:pPr>
              <w:spacing w:line="360" w:lineRule="auto"/>
              <w:rPr>
                <w:rFonts w:ascii="楷体" w:hAnsi="楷体" w:eastAsia="楷体"/>
                <w:sz w:val="24"/>
              </w:rPr>
            </w:pPr>
          </w:p>
        </w:tc>
        <w:tc>
          <w:tcPr>
            <w:tcW w:w="2038" w:type="dxa"/>
          </w:tcPr>
          <w:p>
            <w:pPr>
              <w:spacing w:line="360" w:lineRule="auto"/>
              <w:rPr>
                <w:rFonts w:ascii="楷体" w:hAnsi="楷体" w:eastAsia="楷体"/>
                <w:sz w:val="24"/>
              </w:rPr>
            </w:pPr>
          </w:p>
        </w:tc>
        <w:tc>
          <w:tcPr>
            <w:tcW w:w="2039" w:type="dxa"/>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53" w:type="dxa"/>
            <w:gridSpan w:val="4"/>
          </w:tcPr>
          <w:p>
            <w:pPr>
              <w:spacing w:line="360" w:lineRule="auto"/>
              <w:rPr>
                <w:rFonts w:ascii="楷体" w:hAnsi="楷体" w:eastAsia="楷体"/>
                <w:sz w:val="24"/>
              </w:rPr>
            </w:pPr>
            <w:r>
              <w:rPr>
                <w:rFonts w:hint="eastAsia" w:ascii="楷体" w:hAnsi="楷体" w:eastAsia="楷体"/>
                <w:sz w:val="24"/>
              </w:rPr>
              <w:t>备注：</w:t>
            </w:r>
            <w:r>
              <w:rPr>
                <w:rFonts w:ascii="楷体" w:hAnsi="楷体" w:eastAsia="楷体"/>
                <w:sz w:val="24"/>
              </w:rPr>
              <w:t xml:space="preserve"> 1</w:t>
            </w:r>
            <w:r>
              <w:rPr>
                <w:rFonts w:hint="eastAsia" w:ascii="楷体" w:hAnsi="楷体" w:eastAsia="楷体"/>
                <w:sz w:val="24"/>
              </w:rPr>
              <w:t>.乙方公章须与个人签字或个人印章同时出具，方为有效。</w:t>
            </w:r>
          </w:p>
          <w:p>
            <w:pPr>
              <w:spacing w:line="360" w:lineRule="auto"/>
              <w:ind w:left="850" w:hanging="849" w:hangingChars="354"/>
              <w:rPr>
                <w:rFonts w:ascii="楷体" w:hAnsi="楷体" w:eastAsia="楷体"/>
                <w:sz w:val="24"/>
              </w:rPr>
            </w:pPr>
            <w:r>
              <w:rPr>
                <w:rFonts w:ascii="楷体" w:hAnsi="楷体" w:eastAsia="楷体"/>
                <w:sz w:val="24"/>
              </w:rPr>
              <w:t xml:space="preserve">       </w:t>
            </w:r>
            <w:r>
              <w:rPr>
                <w:rFonts w:hint="eastAsia" w:ascii="楷体" w:hAnsi="楷体" w:eastAsia="楷体"/>
                <w:sz w:val="24"/>
              </w:rPr>
              <w:t>2.被授权人员信息如有变更，乙方需提前通知甲方；更换被授权人员的，乙方需提前通知甲方并经甲方同意。</w:t>
            </w:r>
          </w:p>
        </w:tc>
      </w:tr>
    </w:tbl>
    <w:p>
      <w:pPr>
        <w:spacing w:line="360" w:lineRule="auto"/>
        <w:ind w:right="560"/>
        <w:jc w:val="right"/>
        <w:rPr>
          <w:rFonts w:eastAsia="楷体_GB2312"/>
          <w:sz w:val="24"/>
        </w:rPr>
      </w:pPr>
    </w:p>
    <w:p>
      <w:pPr>
        <w:spacing w:line="360" w:lineRule="auto"/>
        <w:ind w:right="560"/>
        <w:jc w:val="right"/>
        <w:rPr>
          <w:rFonts w:eastAsia="楷体_GB2312"/>
          <w:sz w:val="24"/>
        </w:rPr>
      </w:pPr>
    </w:p>
    <w:p>
      <w:pPr>
        <w:spacing w:line="360" w:lineRule="auto"/>
        <w:ind w:right="560"/>
        <w:jc w:val="right"/>
        <w:rPr>
          <w:rFonts w:eastAsia="楷体_GB2312"/>
          <w:sz w:val="24"/>
        </w:rPr>
      </w:pPr>
    </w:p>
    <w:p>
      <w:pPr>
        <w:spacing w:line="360" w:lineRule="auto"/>
        <w:ind w:left="420" w:right="1520" w:firstLine="420"/>
        <w:jc w:val="center"/>
        <w:rPr>
          <w:rFonts w:eastAsia="楷体_GB2312"/>
          <w:sz w:val="24"/>
        </w:rPr>
      </w:pPr>
      <w:r>
        <w:rPr>
          <w:rFonts w:eastAsia="楷体_GB2312"/>
          <w:sz w:val="24"/>
        </w:rPr>
        <w:t xml:space="preserve">           </w:t>
      </w:r>
      <w:r>
        <w:rPr>
          <w:rFonts w:hint="eastAsia" w:eastAsia="楷体_GB2312"/>
          <w:sz w:val="24"/>
        </w:rPr>
        <w:t>北京康信君安资产管理有限公司（公章）：</w:t>
      </w:r>
    </w:p>
    <w:p>
      <w:pPr>
        <w:spacing w:line="360" w:lineRule="auto"/>
        <w:ind w:left="420" w:right="560" w:firstLine="420"/>
        <w:jc w:val="right"/>
        <w:rPr>
          <w:rFonts w:eastAsia="楷体_GB2312"/>
          <w:sz w:val="24"/>
        </w:rPr>
      </w:pPr>
    </w:p>
    <w:p>
      <w:pPr>
        <w:spacing w:line="360" w:lineRule="auto"/>
        <w:ind w:left="420" w:right="560" w:firstLine="420"/>
        <w:jc w:val="right"/>
        <w:rPr>
          <w:rFonts w:eastAsia="楷体_GB2312"/>
          <w:sz w:val="24"/>
        </w:rPr>
      </w:pPr>
    </w:p>
    <w:p>
      <w:pPr>
        <w:spacing w:line="360" w:lineRule="auto"/>
        <w:ind w:right="1240"/>
        <w:jc w:val="right"/>
        <w:rPr>
          <w:rFonts w:eastAsia="楷体_GB2312"/>
          <w:sz w:val="24"/>
        </w:rPr>
      </w:pPr>
      <w:r>
        <w:rPr>
          <w:rFonts w:hint="eastAsia" w:eastAsia="楷体_GB2312"/>
          <w:sz w:val="24"/>
        </w:rPr>
        <w:t>法定代表人（或授权代理人）：</w:t>
      </w:r>
    </w:p>
    <w:p>
      <w:pPr>
        <w:spacing w:line="360" w:lineRule="auto"/>
        <w:ind w:right="280"/>
        <w:jc w:val="right"/>
        <w:rPr>
          <w:rFonts w:eastAsia="楷体_GB2312"/>
          <w:sz w:val="24"/>
        </w:rPr>
      </w:pPr>
    </w:p>
    <w:p>
      <w:pPr>
        <w:spacing w:line="360" w:lineRule="auto"/>
        <w:ind w:right="280"/>
        <w:jc w:val="right"/>
        <w:rPr>
          <w:rFonts w:eastAsia="楷体_GB2312"/>
          <w:sz w:val="24"/>
        </w:rPr>
      </w:pPr>
    </w:p>
    <w:p>
      <w:pPr>
        <w:ind w:firstLine="3840" w:firstLineChars="1600"/>
        <w:rPr>
          <w:rFonts w:eastAsia="楷体_GB2312"/>
          <w:sz w:val="24"/>
        </w:rPr>
      </w:pPr>
      <w:r>
        <w:rPr>
          <w:rFonts w:hint="eastAsia" w:eastAsia="楷体_GB2312"/>
          <w:sz w:val="24"/>
        </w:rPr>
        <w:t>年</w:t>
      </w:r>
      <w:r>
        <w:rPr>
          <w:rFonts w:eastAsia="楷体_GB2312"/>
          <w:sz w:val="24"/>
        </w:rPr>
        <w:t xml:space="preserve">  </w:t>
      </w:r>
      <w:r>
        <w:rPr>
          <w:rFonts w:hint="eastAsia" w:eastAsia="楷体_GB2312"/>
          <w:sz w:val="24"/>
        </w:rPr>
        <w:t>月</w:t>
      </w:r>
      <w:r>
        <w:rPr>
          <w:rFonts w:eastAsia="楷体_GB2312"/>
          <w:sz w:val="24"/>
        </w:rPr>
        <w:t xml:space="preserve">  </w:t>
      </w:r>
      <w:r>
        <w:rPr>
          <w:rFonts w:hint="eastAsia" w:eastAsia="楷体_GB2312"/>
          <w:sz w:val="24"/>
        </w:rPr>
        <w:t>日</w:t>
      </w:r>
    </w:p>
    <w:p>
      <w:pPr>
        <w:spacing w:before="156" w:beforeLines="50"/>
        <w:ind w:firstLine="480" w:firstLineChars="200"/>
        <w:rPr>
          <w:rFonts w:eastAsia="楷体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8210062"/>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GIzZWZkZGViZTdhMTQ1MWU1YTMwMDVlMzhlZTUifQ=="/>
  </w:docVars>
  <w:rsids>
    <w:rsidRoot w:val="00155BD4"/>
    <w:rsid w:val="0000257E"/>
    <w:rsid w:val="00005693"/>
    <w:rsid w:val="0000787C"/>
    <w:rsid w:val="00011D6C"/>
    <w:rsid w:val="00017C73"/>
    <w:rsid w:val="000202C3"/>
    <w:rsid w:val="0003008D"/>
    <w:rsid w:val="000315BB"/>
    <w:rsid w:val="00040ACC"/>
    <w:rsid w:val="00043F52"/>
    <w:rsid w:val="0004421A"/>
    <w:rsid w:val="00055199"/>
    <w:rsid w:val="00055EA9"/>
    <w:rsid w:val="0005601F"/>
    <w:rsid w:val="000566E6"/>
    <w:rsid w:val="000644FF"/>
    <w:rsid w:val="00065B9D"/>
    <w:rsid w:val="00066A95"/>
    <w:rsid w:val="00070C21"/>
    <w:rsid w:val="00072645"/>
    <w:rsid w:val="0008036E"/>
    <w:rsid w:val="000814E9"/>
    <w:rsid w:val="000860E1"/>
    <w:rsid w:val="00091D80"/>
    <w:rsid w:val="00094436"/>
    <w:rsid w:val="00095642"/>
    <w:rsid w:val="0009629C"/>
    <w:rsid w:val="00096DDA"/>
    <w:rsid w:val="000A3EC9"/>
    <w:rsid w:val="000A596E"/>
    <w:rsid w:val="000B0429"/>
    <w:rsid w:val="000B1B9E"/>
    <w:rsid w:val="000C0097"/>
    <w:rsid w:val="000C51E3"/>
    <w:rsid w:val="000C5BB2"/>
    <w:rsid w:val="000C61EF"/>
    <w:rsid w:val="000C7411"/>
    <w:rsid w:val="000C797A"/>
    <w:rsid w:val="000D4BEB"/>
    <w:rsid w:val="000E1881"/>
    <w:rsid w:val="000F0254"/>
    <w:rsid w:val="000F0B58"/>
    <w:rsid w:val="000F0DCD"/>
    <w:rsid w:val="000F3980"/>
    <w:rsid w:val="000F3CF2"/>
    <w:rsid w:val="00102616"/>
    <w:rsid w:val="00103235"/>
    <w:rsid w:val="001131CC"/>
    <w:rsid w:val="001133BC"/>
    <w:rsid w:val="001369CC"/>
    <w:rsid w:val="00137B34"/>
    <w:rsid w:val="00142AA2"/>
    <w:rsid w:val="00143078"/>
    <w:rsid w:val="0014327B"/>
    <w:rsid w:val="00144035"/>
    <w:rsid w:val="001451B9"/>
    <w:rsid w:val="00146BDB"/>
    <w:rsid w:val="00155BD4"/>
    <w:rsid w:val="001602D5"/>
    <w:rsid w:val="0016089B"/>
    <w:rsid w:val="00163410"/>
    <w:rsid w:val="0017055F"/>
    <w:rsid w:val="001724A1"/>
    <w:rsid w:val="00176C2F"/>
    <w:rsid w:val="0018349C"/>
    <w:rsid w:val="001912B5"/>
    <w:rsid w:val="00192075"/>
    <w:rsid w:val="001B22EC"/>
    <w:rsid w:val="001B6FB4"/>
    <w:rsid w:val="001B77D9"/>
    <w:rsid w:val="001C12E2"/>
    <w:rsid w:val="001C20EB"/>
    <w:rsid w:val="001C73B9"/>
    <w:rsid w:val="001D33D5"/>
    <w:rsid w:val="001D7D7D"/>
    <w:rsid w:val="001E035D"/>
    <w:rsid w:val="001E7D74"/>
    <w:rsid w:val="00211D1C"/>
    <w:rsid w:val="00223050"/>
    <w:rsid w:val="0022481C"/>
    <w:rsid w:val="00234F2E"/>
    <w:rsid w:val="00235EA4"/>
    <w:rsid w:val="00236E93"/>
    <w:rsid w:val="00242AAB"/>
    <w:rsid w:val="00245645"/>
    <w:rsid w:val="0025465D"/>
    <w:rsid w:val="002606AD"/>
    <w:rsid w:val="00262F5B"/>
    <w:rsid w:val="00266673"/>
    <w:rsid w:val="002710C6"/>
    <w:rsid w:val="00271CBE"/>
    <w:rsid w:val="00272A34"/>
    <w:rsid w:val="00273EB4"/>
    <w:rsid w:val="00281782"/>
    <w:rsid w:val="0029402E"/>
    <w:rsid w:val="002964CA"/>
    <w:rsid w:val="00297D55"/>
    <w:rsid w:val="002A4776"/>
    <w:rsid w:val="002A5571"/>
    <w:rsid w:val="002A675E"/>
    <w:rsid w:val="002B1BBD"/>
    <w:rsid w:val="002B3004"/>
    <w:rsid w:val="002B4E9B"/>
    <w:rsid w:val="002D7171"/>
    <w:rsid w:val="002E1748"/>
    <w:rsid w:val="002E3349"/>
    <w:rsid w:val="002E33D4"/>
    <w:rsid w:val="002E3BC3"/>
    <w:rsid w:val="002E3CA0"/>
    <w:rsid w:val="002E3DAD"/>
    <w:rsid w:val="002E4879"/>
    <w:rsid w:val="002F5AD2"/>
    <w:rsid w:val="002F6A3E"/>
    <w:rsid w:val="0030450B"/>
    <w:rsid w:val="00307E09"/>
    <w:rsid w:val="00312ED5"/>
    <w:rsid w:val="00321BAC"/>
    <w:rsid w:val="00322E2C"/>
    <w:rsid w:val="00323B2F"/>
    <w:rsid w:val="00332774"/>
    <w:rsid w:val="003340F4"/>
    <w:rsid w:val="003370AA"/>
    <w:rsid w:val="00342D8B"/>
    <w:rsid w:val="003460C2"/>
    <w:rsid w:val="00353BFE"/>
    <w:rsid w:val="003566C7"/>
    <w:rsid w:val="00362FA9"/>
    <w:rsid w:val="00364ACD"/>
    <w:rsid w:val="003736A2"/>
    <w:rsid w:val="003752E4"/>
    <w:rsid w:val="00376130"/>
    <w:rsid w:val="0038798C"/>
    <w:rsid w:val="0039477D"/>
    <w:rsid w:val="003956CD"/>
    <w:rsid w:val="00397A7A"/>
    <w:rsid w:val="003A0E4D"/>
    <w:rsid w:val="003A18F2"/>
    <w:rsid w:val="003A3D2C"/>
    <w:rsid w:val="003C4933"/>
    <w:rsid w:val="003C4BB3"/>
    <w:rsid w:val="003D58F8"/>
    <w:rsid w:val="003E0615"/>
    <w:rsid w:val="003E08CA"/>
    <w:rsid w:val="003E2DF7"/>
    <w:rsid w:val="003E33E5"/>
    <w:rsid w:val="003E5D41"/>
    <w:rsid w:val="003E721E"/>
    <w:rsid w:val="003F4EC5"/>
    <w:rsid w:val="00403DF5"/>
    <w:rsid w:val="0041169E"/>
    <w:rsid w:val="00411A54"/>
    <w:rsid w:val="004122C3"/>
    <w:rsid w:val="004140F0"/>
    <w:rsid w:val="00420B3E"/>
    <w:rsid w:val="00426C25"/>
    <w:rsid w:val="00434D98"/>
    <w:rsid w:val="00435383"/>
    <w:rsid w:val="00435CEC"/>
    <w:rsid w:val="00436F07"/>
    <w:rsid w:val="004516B4"/>
    <w:rsid w:val="004525F4"/>
    <w:rsid w:val="00454849"/>
    <w:rsid w:val="00456D64"/>
    <w:rsid w:val="004574E3"/>
    <w:rsid w:val="004618F7"/>
    <w:rsid w:val="004669BA"/>
    <w:rsid w:val="0047027F"/>
    <w:rsid w:val="004706EA"/>
    <w:rsid w:val="00480C81"/>
    <w:rsid w:val="00483963"/>
    <w:rsid w:val="00486B68"/>
    <w:rsid w:val="00492CC5"/>
    <w:rsid w:val="00494A31"/>
    <w:rsid w:val="00494B01"/>
    <w:rsid w:val="00497058"/>
    <w:rsid w:val="004A0B4B"/>
    <w:rsid w:val="004A199D"/>
    <w:rsid w:val="004A2A67"/>
    <w:rsid w:val="004A7F46"/>
    <w:rsid w:val="004B1A5B"/>
    <w:rsid w:val="004B2C1A"/>
    <w:rsid w:val="004C0143"/>
    <w:rsid w:val="004C3E6C"/>
    <w:rsid w:val="004D0679"/>
    <w:rsid w:val="004D3A4C"/>
    <w:rsid w:val="004D45DC"/>
    <w:rsid w:val="004D6F7F"/>
    <w:rsid w:val="004E0487"/>
    <w:rsid w:val="004E3501"/>
    <w:rsid w:val="004E3711"/>
    <w:rsid w:val="004F0161"/>
    <w:rsid w:val="004F09F2"/>
    <w:rsid w:val="004F77F2"/>
    <w:rsid w:val="00502E72"/>
    <w:rsid w:val="00504ABD"/>
    <w:rsid w:val="00504E38"/>
    <w:rsid w:val="0051011D"/>
    <w:rsid w:val="0051093C"/>
    <w:rsid w:val="00513D5E"/>
    <w:rsid w:val="005220F0"/>
    <w:rsid w:val="00526042"/>
    <w:rsid w:val="00535BFE"/>
    <w:rsid w:val="00551FA9"/>
    <w:rsid w:val="00555824"/>
    <w:rsid w:val="00556E14"/>
    <w:rsid w:val="00563705"/>
    <w:rsid w:val="00563D16"/>
    <w:rsid w:val="00566A32"/>
    <w:rsid w:val="00572E5F"/>
    <w:rsid w:val="005740F0"/>
    <w:rsid w:val="005753F5"/>
    <w:rsid w:val="00575597"/>
    <w:rsid w:val="00583D06"/>
    <w:rsid w:val="00590DEB"/>
    <w:rsid w:val="00592B67"/>
    <w:rsid w:val="0059300E"/>
    <w:rsid w:val="00595F32"/>
    <w:rsid w:val="0059759F"/>
    <w:rsid w:val="005A091D"/>
    <w:rsid w:val="005A17E6"/>
    <w:rsid w:val="005A40F3"/>
    <w:rsid w:val="005A5432"/>
    <w:rsid w:val="005A6912"/>
    <w:rsid w:val="005B0E33"/>
    <w:rsid w:val="005B1076"/>
    <w:rsid w:val="005D120E"/>
    <w:rsid w:val="005D41A0"/>
    <w:rsid w:val="005E0971"/>
    <w:rsid w:val="005E1388"/>
    <w:rsid w:val="005E1836"/>
    <w:rsid w:val="005E1957"/>
    <w:rsid w:val="005E1E1F"/>
    <w:rsid w:val="005F00FE"/>
    <w:rsid w:val="005F43AF"/>
    <w:rsid w:val="0060306C"/>
    <w:rsid w:val="0061076C"/>
    <w:rsid w:val="0061399E"/>
    <w:rsid w:val="0063061B"/>
    <w:rsid w:val="006306FC"/>
    <w:rsid w:val="00631315"/>
    <w:rsid w:val="00634319"/>
    <w:rsid w:val="006359A4"/>
    <w:rsid w:val="00636029"/>
    <w:rsid w:val="00643043"/>
    <w:rsid w:val="00646471"/>
    <w:rsid w:val="00650602"/>
    <w:rsid w:val="0065089E"/>
    <w:rsid w:val="0065206C"/>
    <w:rsid w:val="00660523"/>
    <w:rsid w:val="00662F20"/>
    <w:rsid w:val="00674487"/>
    <w:rsid w:val="00684318"/>
    <w:rsid w:val="00684ECD"/>
    <w:rsid w:val="00691AC9"/>
    <w:rsid w:val="0069727B"/>
    <w:rsid w:val="006A0A1E"/>
    <w:rsid w:val="006A0EAA"/>
    <w:rsid w:val="006A16B0"/>
    <w:rsid w:val="006A5A8E"/>
    <w:rsid w:val="006B5665"/>
    <w:rsid w:val="006B759D"/>
    <w:rsid w:val="006B7FA9"/>
    <w:rsid w:val="006C078E"/>
    <w:rsid w:val="006C41D8"/>
    <w:rsid w:val="006C7CD6"/>
    <w:rsid w:val="006D090C"/>
    <w:rsid w:val="006D2A66"/>
    <w:rsid w:val="006D6515"/>
    <w:rsid w:val="006E0A71"/>
    <w:rsid w:val="006E300C"/>
    <w:rsid w:val="006E6B1A"/>
    <w:rsid w:val="006F32FF"/>
    <w:rsid w:val="006F5DAD"/>
    <w:rsid w:val="006F7CEA"/>
    <w:rsid w:val="007101F0"/>
    <w:rsid w:val="00715F1C"/>
    <w:rsid w:val="0071772D"/>
    <w:rsid w:val="00723496"/>
    <w:rsid w:val="00725FF2"/>
    <w:rsid w:val="007323BA"/>
    <w:rsid w:val="007359D5"/>
    <w:rsid w:val="00744BD5"/>
    <w:rsid w:val="007466B9"/>
    <w:rsid w:val="00746874"/>
    <w:rsid w:val="00747D0B"/>
    <w:rsid w:val="00751958"/>
    <w:rsid w:val="007552F3"/>
    <w:rsid w:val="00756C2A"/>
    <w:rsid w:val="00765049"/>
    <w:rsid w:val="00772F0E"/>
    <w:rsid w:val="00773184"/>
    <w:rsid w:val="007756B1"/>
    <w:rsid w:val="007757AD"/>
    <w:rsid w:val="00781CB2"/>
    <w:rsid w:val="00782DCA"/>
    <w:rsid w:val="007855B9"/>
    <w:rsid w:val="00785FD2"/>
    <w:rsid w:val="00786695"/>
    <w:rsid w:val="00791854"/>
    <w:rsid w:val="00793669"/>
    <w:rsid w:val="00795CA3"/>
    <w:rsid w:val="00797298"/>
    <w:rsid w:val="00797A68"/>
    <w:rsid w:val="007A05A7"/>
    <w:rsid w:val="007A3061"/>
    <w:rsid w:val="007A3281"/>
    <w:rsid w:val="007A38E1"/>
    <w:rsid w:val="007B7543"/>
    <w:rsid w:val="007C0038"/>
    <w:rsid w:val="007C5A31"/>
    <w:rsid w:val="007C6AB9"/>
    <w:rsid w:val="007C6B30"/>
    <w:rsid w:val="007D2611"/>
    <w:rsid w:val="007D6C6B"/>
    <w:rsid w:val="007D7B59"/>
    <w:rsid w:val="007E1D41"/>
    <w:rsid w:val="007F16F3"/>
    <w:rsid w:val="007F1B4F"/>
    <w:rsid w:val="007F2B33"/>
    <w:rsid w:val="007F5685"/>
    <w:rsid w:val="007F6FF9"/>
    <w:rsid w:val="007F7756"/>
    <w:rsid w:val="00801C21"/>
    <w:rsid w:val="00803D38"/>
    <w:rsid w:val="00805B11"/>
    <w:rsid w:val="0080673F"/>
    <w:rsid w:val="0081177E"/>
    <w:rsid w:val="00813033"/>
    <w:rsid w:val="00813EF7"/>
    <w:rsid w:val="00823575"/>
    <w:rsid w:val="00823B2C"/>
    <w:rsid w:val="008304CD"/>
    <w:rsid w:val="00845328"/>
    <w:rsid w:val="00846A91"/>
    <w:rsid w:val="0085071C"/>
    <w:rsid w:val="00854BE4"/>
    <w:rsid w:val="00856A46"/>
    <w:rsid w:val="00860E58"/>
    <w:rsid w:val="00863E68"/>
    <w:rsid w:val="008705C0"/>
    <w:rsid w:val="00876D17"/>
    <w:rsid w:val="00877061"/>
    <w:rsid w:val="00877B13"/>
    <w:rsid w:val="00881697"/>
    <w:rsid w:val="00884946"/>
    <w:rsid w:val="00885220"/>
    <w:rsid w:val="0089332D"/>
    <w:rsid w:val="00893FD4"/>
    <w:rsid w:val="008965FA"/>
    <w:rsid w:val="008974B0"/>
    <w:rsid w:val="008A1193"/>
    <w:rsid w:val="008A45E4"/>
    <w:rsid w:val="008A724A"/>
    <w:rsid w:val="008B0D17"/>
    <w:rsid w:val="008C2046"/>
    <w:rsid w:val="008C205A"/>
    <w:rsid w:val="008C2731"/>
    <w:rsid w:val="008C7C81"/>
    <w:rsid w:val="008D7978"/>
    <w:rsid w:val="008E0741"/>
    <w:rsid w:val="008E6ED2"/>
    <w:rsid w:val="008F0CE3"/>
    <w:rsid w:val="008F291F"/>
    <w:rsid w:val="008F5505"/>
    <w:rsid w:val="009000B8"/>
    <w:rsid w:val="009012A7"/>
    <w:rsid w:val="009026B7"/>
    <w:rsid w:val="0090391B"/>
    <w:rsid w:val="009103BE"/>
    <w:rsid w:val="00910B18"/>
    <w:rsid w:val="009143BE"/>
    <w:rsid w:val="00914DFD"/>
    <w:rsid w:val="00917766"/>
    <w:rsid w:val="00922E6C"/>
    <w:rsid w:val="00943CF9"/>
    <w:rsid w:val="00946D02"/>
    <w:rsid w:val="00950AB0"/>
    <w:rsid w:val="009522F0"/>
    <w:rsid w:val="009551CD"/>
    <w:rsid w:val="00956DF7"/>
    <w:rsid w:val="00957945"/>
    <w:rsid w:val="0096115C"/>
    <w:rsid w:val="0097075D"/>
    <w:rsid w:val="009726BD"/>
    <w:rsid w:val="00972CDE"/>
    <w:rsid w:val="00977891"/>
    <w:rsid w:val="00986974"/>
    <w:rsid w:val="00987A76"/>
    <w:rsid w:val="00990893"/>
    <w:rsid w:val="009925F7"/>
    <w:rsid w:val="00993651"/>
    <w:rsid w:val="00995C18"/>
    <w:rsid w:val="009A5443"/>
    <w:rsid w:val="009B2987"/>
    <w:rsid w:val="009B681F"/>
    <w:rsid w:val="009C1211"/>
    <w:rsid w:val="009C2095"/>
    <w:rsid w:val="009C4D47"/>
    <w:rsid w:val="009C7A0A"/>
    <w:rsid w:val="009D6297"/>
    <w:rsid w:val="009D66A6"/>
    <w:rsid w:val="009D718E"/>
    <w:rsid w:val="009E60B1"/>
    <w:rsid w:val="009F103B"/>
    <w:rsid w:val="009F66B0"/>
    <w:rsid w:val="009F6A24"/>
    <w:rsid w:val="009F6F06"/>
    <w:rsid w:val="00A00501"/>
    <w:rsid w:val="00A02934"/>
    <w:rsid w:val="00A02D23"/>
    <w:rsid w:val="00A06054"/>
    <w:rsid w:val="00A0700D"/>
    <w:rsid w:val="00A0723E"/>
    <w:rsid w:val="00A166ED"/>
    <w:rsid w:val="00A16C7C"/>
    <w:rsid w:val="00A17E91"/>
    <w:rsid w:val="00A2285A"/>
    <w:rsid w:val="00A252A0"/>
    <w:rsid w:val="00A26794"/>
    <w:rsid w:val="00A309C1"/>
    <w:rsid w:val="00A325F3"/>
    <w:rsid w:val="00A33F5A"/>
    <w:rsid w:val="00A40EAF"/>
    <w:rsid w:val="00A4118E"/>
    <w:rsid w:val="00A41FD3"/>
    <w:rsid w:val="00A4258C"/>
    <w:rsid w:val="00A42CB0"/>
    <w:rsid w:val="00A474EF"/>
    <w:rsid w:val="00A502BA"/>
    <w:rsid w:val="00A52C64"/>
    <w:rsid w:val="00A56399"/>
    <w:rsid w:val="00A568B5"/>
    <w:rsid w:val="00A67925"/>
    <w:rsid w:val="00A7156C"/>
    <w:rsid w:val="00A72C7A"/>
    <w:rsid w:val="00A75DC1"/>
    <w:rsid w:val="00A7646C"/>
    <w:rsid w:val="00A76718"/>
    <w:rsid w:val="00A76EAB"/>
    <w:rsid w:val="00A82E0D"/>
    <w:rsid w:val="00A86CBD"/>
    <w:rsid w:val="00A87C4C"/>
    <w:rsid w:val="00A96824"/>
    <w:rsid w:val="00AA522B"/>
    <w:rsid w:val="00AA7429"/>
    <w:rsid w:val="00AB609C"/>
    <w:rsid w:val="00AC0F62"/>
    <w:rsid w:val="00AC6D9A"/>
    <w:rsid w:val="00AC7AA7"/>
    <w:rsid w:val="00AD0B73"/>
    <w:rsid w:val="00AD0CC3"/>
    <w:rsid w:val="00AD234E"/>
    <w:rsid w:val="00AD65FB"/>
    <w:rsid w:val="00AE0686"/>
    <w:rsid w:val="00AE42A2"/>
    <w:rsid w:val="00AF1BAE"/>
    <w:rsid w:val="00B02B2C"/>
    <w:rsid w:val="00B0409D"/>
    <w:rsid w:val="00B061A0"/>
    <w:rsid w:val="00B067F0"/>
    <w:rsid w:val="00B106F3"/>
    <w:rsid w:val="00B12D7F"/>
    <w:rsid w:val="00B13A95"/>
    <w:rsid w:val="00B16B35"/>
    <w:rsid w:val="00B170F9"/>
    <w:rsid w:val="00B20983"/>
    <w:rsid w:val="00B21403"/>
    <w:rsid w:val="00B21F2C"/>
    <w:rsid w:val="00B24705"/>
    <w:rsid w:val="00B311B4"/>
    <w:rsid w:val="00B36C40"/>
    <w:rsid w:val="00B36EFC"/>
    <w:rsid w:val="00B412CF"/>
    <w:rsid w:val="00B6385A"/>
    <w:rsid w:val="00B65916"/>
    <w:rsid w:val="00B66CBA"/>
    <w:rsid w:val="00B76B97"/>
    <w:rsid w:val="00B84273"/>
    <w:rsid w:val="00B84643"/>
    <w:rsid w:val="00B85E02"/>
    <w:rsid w:val="00B91CF9"/>
    <w:rsid w:val="00B94020"/>
    <w:rsid w:val="00B9447C"/>
    <w:rsid w:val="00B94996"/>
    <w:rsid w:val="00B96091"/>
    <w:rsid w:val="00BA056C"/>
    <w:rsid w:val="00BA0A1F"/>
    <w:rsid w:val="00BA60F5"/>
    <w:rsid w:val="00BB2CF6"/>
    <w:rsid w:val="00BB35EA"/>
    <w:rsid w:val="00BB4EA2"/>
    <w:rsid w:val="00BB7873"/>
    <w:rsid w:val="00BC1C2F"/>
    <w:rsid w:val="00BD0E3E"/>
    <w:rsid w:val="00BD2C3B"/>
    <w:rsid w:val="00BE42A9"/>
    <w:rsid w:val="00BE65B4"/>
    <w:rsid w:val="00BF205B"/>
    <w:rsid w:val="00BF394A"/>
    <w:rsid w:val="00C00B28"/>
    <w:rsid w:val="00C016D6"/>
    <w:rsid w:val="00C04AFB"/>
    <w:rsid w:val="00C05648"/>
    <w:rsid w:val="00C06367"/>
    <w:rsid w:val="00C129FE"/>
    <w:rsid w:val="00C23725"/>
    <w:rsid w:val="00C23A97"/>
    <w:rsid w:val="00C250FA"/>
    <w:rsid w:val="00C25855"/>
    <w:rsid w:val="00C26FC7"/>
    <w:rsid w:val="00C3021B"/>
    <w:rsid w:val="00C30F2A"/>
    <w:rsid w:val="00C31027"/>
    <w:rsid w:val="00C31062"/>
    <w:rsid w:val="00C31298"/>
    <w:rsid w:val="00C31E9B"/>
    <w:rsid w:val="00C3247E"/>
    <w:rsid w:val="00C3356F"/>
    <w:rsid w:val="00C36D7A"/>
    <w:rsid w:val="00C40CFD"/>
    <w:rsid w:val="00C42AE6"/>
    <w:rsid w:val="00C4779E"/>
    <w:rsid w:val="00C505E6"/>
    <w:rsid w:val="00C50C26"/>
    <w:rsid w:val="00C50E98"/>
    <w:rsid w:val="00C551D4"/>
    <w:rsid w:val="00C55C9A"/>
    <w:rsid w:val="00C63F47"/>
    <w:rsid w:val="00C72029"/>
    <w:rsid w:val="00C733A4"/>
    <w:rsid w:val="00C85173"/>
    <w:rsid w:val="00C93BB7"/>
    <w:rsid w:val="00C95A9D"/>
    <w:rsid w:val="00CA308D"/>
    <w:rsid w:val="00CA4CDE"/>
    <w:rsid w:val="00CB0D79"/>
    <w:rsid w:val="00CB1A31"/>
    <w:rsid w:val="00CB4C44"/>
    <w:rsid w:val="00CB6B42"/>
    <w:rsid w:val="00CC0BE8"/>
    <w:rsid w:val="00CC49D8"/>
    <w:rsid w:val="00CC4C55"/>
    <w:rsid w:val="00CD1608"/>
    <w:rsid w:val="00CD17C4"/>
    <w:rsid w:val="00CD23C7"/>
    <w:rsid w:val="00CE2EBA"/>
    <w:rsid w:val="00CE30C7"/>
    <w:rsid w:val="00CE7AC7"/>
    <w:rsid w:val="00CF2944"/>
    <w:rsid w:val="00CF4653"/>
    <w:rsid w:val="00CF4F7D"/>
    <w:rsid w:val="00CF6A00"/>
    <w:rsid w:val="00D03EF0"/>
    <w:rsid w:val="00D111FB"/>
    <w:rsid w:val="00D142E9"/>
    <w:rsid w:val="00D17FA0"/>
    <w:rsid w:val="00D2119E"/>
    <w:rsid w:val="00D229D9"/>
    <w:rsid w:val="00D232A5"/>
    <w:rsid w:val="00D269D4"/>
    <w:rsid w:val="00D35349"/>
    <w:rsid w:val="00D55B2A"/>
    <w:rsid w:val="00D5753F"/>
    <w:rsid w:val="00D6526F"/>
    <w:rsid w:val="00D72ACC"/>
    <w:rsid w:val="00D72ED7"/>
    <w:rsid w:val="00D73F15"/>
    <w:rsid w:val="00D7629B"/>
    <w:rsid w:val="00D8202C"/>
    <w:rsid w:val="00D828CF"/>
    <w:rsid w:val="00D83C82"/>
    <w:rsid w:val="00D850CC"/>
    <w:rsid w:val="00D86AFB"/>
    <w:rsid w:val="00D936FC"/>
    <w:rsid w:val="00DA5C80"/>
    <w:rsid w:val="00DA6A18"/>
    <w:rsid w:val="00DB5DBF"/>
    <w:rsid w:val="00DB7F33"/>
    <w:rsid w:val="00DC03A7"/>
    <w:rsid w:val="00DC26E2"/>
    <w:rsid w:val="00DC2B94"/>
    <w:rsid w:val="00DC3154"/>
    <w:rsid w:val="00DD298B"/>
    <w:rsid w:val="00DD32A5"/>
    <w:rsid w:val="00DD716A"/>
    <w:rsid w:val="00DE0520"/>
    <w:rsid w:val="00DE4FF5"/>
    <w:rsid w:val="00DF6ECF"/>
    <w:rsid w:val="00E02B14"/>
    <w:rsid w:val="00E02E50"/>
    <w:rsid w:val="00E13D88"/>
    <w:rsid w:val="00E2350C"/>
    <w:rsid w:val="00E30911"/>
    <w:rsid w:val="00E3443E"/>
    <w:rsid w:val="00E37721"/>
    <w:rsid w:val="00E464AB"/>
    <w:rsid w:val="00E469AA"/>
    <w:rsid w:val="00E51A8C"/>
    <w:rsid w:val="00E55172"/>
    <w:rsid w:val="00E603C7"/>
    <w:rsid w:val="00E63723"/>
    <w:rsid w:val="00E67B02"/>
    <w:rsid w:val="00E750FF"/>
    <w:rsid w:val="00E842A1"/>
    <w:rsid w:val="00E92049"/>
    <w:rsid w:val="00E95359"/>
    <w:rsid w:val="00E9692B"/>
    <w:rsid w:val="00EA28A8"/>
    <w:rsid w:val="00EB3513"/>
    <w:rsid w:val="00EB4DA3"/>
    <w:rsid w:val="00EB532F"/>
    <w:rsid w:val="00EB628F"/>
    <w:rsid w:val="00EC0E6F"/>
    <w:rsid w:val="00EC6C8A"/>
    <w:rsid w:val="00EE37D7"/>
    <w:rsid w:val="00EE4B45"/>
    <w:rsid w:val="00EF10DE"/>
    <w:rsid w:val="00EF18C5"/>
    <w:rsid w:val="00F00630"/>
    <w:rsid w:val="00F00896"/>
    <w:rsid w:val="00F02269"/>
    <w:rsid w:val="00F12498"/>
    <w:rsid w:val="00F14E2B"/>
    <w:rsid w:val="00F179D8"/>
    <w:rsid w:val="00F21D61"/>
    <w:rsid w:val="00F23D6C"/>
    <w:rsid w:val="00F259B1"/>
    <w:rsid w:val="00F26BF1"/>
    <w:rsid w:val="00F31CF0"/>
    <w:rsid w:val="00F34235"/>
    <w:rsid w:val="00F367B5"/>
    <w:rsid w:val="00F36FCA"/>
    <w:rsid w:val="00F40B48"/>
    <w:rsid w:val="00F4198E"/>
    <w:rsid w:val="00F41BEB"/>
    <w:rsid w:val="00F42A3B"/>
    <w:rsid w:val="00F475A6"/>
    <w:rsid w:val="00F53E1E"/>
    <w:rsid w:val="00F56696"/>
    <w:rsid w:val="00F70A1F"/>
    <w:rsid w:val="00F7264B"/>
    <w:rsid w:val="00F72912"/>
    <w:rsid w:val="00F734A9"/>
    <w:rsid w:val="00F761D3"/>
    <w:rsid w:val="00F7769B"/>
    <w:rsid w:val="00F849BF"/>
    <w:rsid w:val="00F92095"/>
    <w:rsid w:val="00FA3B82"/>
    <w:rsid w:val="00FA45A3"/>
    <w:rsid w:val="00FA50E4"/>
    <w:rsid w:val="00FA64E4"/>
    <w:rsid w:val="00FB23DE"/>
    <w:rsid w:val="00FC0A8B"/>
    <w:rsid w:val="00FC318B"/>
    <w:rsid w:val="00FC5750"/>
    <w:rsid w:val="00FD3F0F"/>
    <w:rsid w:val="00FE0759"/>
    <w:rsid w:val="00FE2781"/>
    <w:rsid w:val="00FE6C55"/>
    <w:rsid w:val="00FE7892"/>
    <w:rsid w:val="00FF0982"/>
    <w:rsid w:val="00FF716B"/>
    <w:rsid w:val="019C520C"/>
    <w:rsid w:val="0B520D77"/>
    <w:rsid w:val="105214A7"/>
    <w:rsid w:val="11236C82"/>
    <w:rsid w:val="127C300E"/>
    <w:rsid w:val="19711326"/>
    <w:rsid w:val="212942BC"/>
    <w:rsid w:val="28D73F06"/>
    <w:rsid w:val="34DA5C46"/>
    <w:rsid w:val="356A6D36"/>
    <w:rsid w:val="38BF2DB6"/>
    <w:rsid w:val="3ABA31B0"/>
    <w:rsid w:val="3E9C7A8D"/>
    <w:rsid w:val="4267199E"/>
    <w:rsid w:val="447B0A49"/>
    <w:rsid w:val="491A0AFF"/>
    <w:rsid w:val="4F320CDE"/>
    <w:rsid w:val="58820D9D"/>
    <w:rsid w:val="5D1727AF"/>
    <w:rsid w:val="66616BDC"/>
    <w:rsid w:val="66A213B6"/>
    <w:rsid w:val="6F503200"/>
    <w:rsid w:val="73AE43AD"/>
    <w:rsid w:val="774C77C6"/>
    <w:rsid w:val="7ED4261A"/>
    <w:rsid w:val="7F1F29BD"/>
    <w:rsid w:val="7FBC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0"/>
    <w:pPr>
      <w:keepNext/>
      <w:keepLines/>
      <w:tabs>
        <w:tab w:val="left" w:pos="1277"/>
      </w:tabs>
      <w:spacing w:before="340" w:after="330" w:line="578" w:lineRule="auto"/>
      <w:outlineLvl w:val="0"/>
    </w:pPr>
    <w:rPr>
      <w:rFonts w:ascii="Times New Roman" w:hAnsi="Times New Roman"/>
      <w:b/>
      <w:bCs/>
      <w:kern w:val="44"/>
      <w:sz w:val="2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rPr>
      <w:szCs w:val="22"/>
    </w:rPr>
  </w:style>
  <w:style w:type="paragraph" w:styleId="8">
    <w:name w:val="annotation subject"/>
    <w:basedOn w:val="3"/>
    <w:next w:val="3"/>
    <w:link w:val="17"/>
    <w:semiHidden/>
    <w:unhideWhenUsed/>
    <w:qFormat/>
    <w:uiPriority w:val="99"/>
    <w:rPr>
      <w:b/>
      <w:bCs/>
    </w:rPr>
  </w:style>
  <w:style w:type="character" w:styleId="11">
    <w:name w:val="Hyperlink"/>
    <w:qFormat/>
    <w:uiPriority w:val="99"/>
    <w:rPr>
      <w:color w:val="0000FF"/>
      <w:u w:val="single"/>
    </w:rPr>
  </w:style>
  <w:style w:type="character" w:styleId="12">
    <w:name w:val="annotation reference"/>
    <w:basedOn w:val="10"/>
    <w:semiHidden/>
    <w:unhideWhenUsed/>
    <w:qFormat/>
    <w:uiPriority w:val="99"/>
    <w:rPr>
      <w:sz w:val="21"/>
      <w:szCs w:val="21"/>
    </w:rPr>
  </w:style>
  <w:style w:type="paragraph" w:customStyle="1" w:styleId="13">
    <w:name w:val="COVERPAGE"/>
    <w:basedOn w:val="1"/>
    <w:qFormat/>
    <w:uiPriority w:val="0"/>
    <w:pPr>
      <w:widowControl/>
      <w:spacing w:line="288" w:lineRule="auto"/>
      <w:jc w:val="left"/>
    </w:pPr>
    <w:rPr>
      <w:rFonts w:ascii="CG Times" w:hAnsi="CG Times"/>
      <w:kern w:val="0"/>
      <w:sz w:val="22"/>
      <w:szCs w:val="20"/>
      <w:lang w:eastAsia="en-US"/>
    </w:rPr>
  </w:style>
  <w:style w:type="paragraph" w:styleId="14">
    <w:name w:val="List Paragraph"/>
    <w:basedOn w:val="1"/>
    <w:qFormat/>
    <w:uiPriority w:val="34"/>
    <w:pPr>
      <w:ind w:firstLine="420" w:firstLineChars="200"/>
    </w:pPr>
  </w:style>
  <w:style w:type="character" w:customStyle="1" w:styleId="15">
    <w:name w:val="标题 1 字符"/>
    <w:basedOn w:val="10"/>
    <w:link w:val="2"/>
    <w:qFormat/>
    <w:uiPriority w:val="0"/>
    <w:rPr>
      <w:rFonts w:ascii="Times New Roman" w:hAnsi="Times New Roman" w:eastAsia="宋体" w:cs="Times New Roman"/>
      <w:b/>
      <w:bCs/>
      <w:kern w:val="44"/>
      <w:sz w:val="24"/>
      <w:szCs w:val="44"/>
    </w:rPr>
  </w:style>
  <w:style w:type="character" w:customStyle="1" w:styleId="16">
    <w:name w:val="批注文字 字符"/>
    <w:basedOn w:val="10"/>
    <w:link w:val="3"/>
    <w:qFormat/>
    <w:uiPriority w:val="99"/>
    <w:rPr>
      <w:rFonts w:ascii="Calibri" w:hAnsi="Calibri" w:eastAsia="宋体" w:cs="Times New Roman"/>
      <w:szCs w:val="24"/>
    </w:rPr>
  </w:style>
  <w:style w:type="character" w:customStyle="1" w:styleId="17">
    <w:name w:val="批注主题 字符"/>
    <w:basedOn w:val="16"/>
    <w:link w:val="8"/>
    <w:semiHidden/>
    <w:qFormat/>
    <w:uiPriority w:val="99"/>
    <w:rPr>
      <w:rFonts w:ascii="Calibri" w:hAnsi="Calibri" w:eastAsia="宋体" w:cs="Times New Roman"/>
      <w:b/>
      <w:bCs/>
      <w:szCs w:val="24"/>
    </w:rPr>
  </w:style>
  <w:style w:type="character" w:customStyle="1" w:styleId="18">
    <w:name w:val="批注框文本 字符"/>
    <w:basedOn w:val="10"/>
    <w:link w:val="4"/>
    <w:semiHidden/>
    <w:qFormat/>
    <w:uiPriority w:val="99"/>
    <w:rPr>
      <w:rFonts w:ascii="Calibri" w:hAnsi="Calibri" w:eastAsia="宋体" w:cs="Times New Roman"/>
      <w:sz w:val="18"/>
      <w:szCs w:val="18"/>
    </w:rPr>
  </w:style>
  <w:style w:type="paragraph" w:customStyle="1" w:styleId="19">
    <w:name w:val="列出段落2"/>
    <w:basedOn w:val="1"/>
    <w:qFormat/>
    <w:uiPriority w:val="34"/>
    <w:pPr>
      <w:ind w:firstLine="420" w:firstLineChars="200"/>
    </w:pPr>
    <w:rPr>
      <w:rFonts w:ascii="Times New Roman" w:hAnsi="Times New Roman"/>
    </w:rPr>
  </w:style>
  <w:style w:type="character" w:customStyle="1" w:styleId="20">
    <w:name w:val="页眉 字符"/>
    <w:basedOn w:val="10"/>
    <w:link w:val="6"/>
    <w:qFormat/>
    <w:uiPriority w:val="99"/>
    <w:rPr>
      <w:kern w:val="2"/>
      <w:sz w:val="18"/>
      <w:szCs w:val="18"/>
    </w:rPr>
  </w:style>
  <w:style w:type="character" w:customStyle="1" w:styleId="21">
    <w:name w:val="页脚 字符"/>
    <w:basedOn w:val="10"/>
    <w:link w:val="5"/>
    <w:qFormat/>
    <w:uiPriority w:val="99"/>
    <w:rPr>
      <w:kern w:val="2"/>
      <w:sz w:val="18"/>
      <w:szCs w:val="18"/>
    </w:rPr>
  </w:style>
  <w:style w:type="paragraph" w:customStyle="1" w:styleId="22">
    <w:name w:val="修订1"/>
    <w:hidden/>
    <w:unhideWhenUsed/>
    <w:qFormat/>
    <w:uiPriority w:val="99"/>
    <w:rPr>
      <w:rFonts w:ascii="Calibri" w:hAnsi="Calibri" w:eastAsia="宋体" w:cs="Times New Roman"/>
      <w:kern w:val="2"/>
      <w:sz w:val="21"/>
      <w:szCs w:val="24"/>
      <w:lang w:val="en-US" w:eastAsia="zh-CN" w:bidi="ar-SA"/>
    </w:rPr>
  </w:style>
  <w:style w:type="paragraph" w:customStyle="1" w:styleId="23">
    <w:name w:val="修订2"/>
    <w:hidden/>
    <w:semiHidden/>
    <w:qFormat/>
    <w:uiPriority w:val="99"/>
    <w:rPr>
      <w:rFonts w:ascii="Calibri" w:hAnsi="Calibri" w:eastAsia="宋体" w:cs="Times New Roman"/>
      <w:kern w:val="2"/>
      <w:sz w:val="21"/>
      <w:szCs w:val="24"/>
      <w:lang w:val="en-US" w:eastAsia="zh-CN" w:bidi="ar-SA"/>
    </w:rPr>
  </w:style>
  <w:style w:type="paragraph" w:customStyle="1" w:styleId="24">
    <w:name w:val="修订3"/>
    <w:hidden/>
    <w:semiHidden/>
    <w:qFormat/>
    <w:uiPriority w:val="99"/>
    <w:rPr>
      <w:rFonts w:ascii="Calibri" w:hAnsi="Calibri" w:eastAsia="宋体" w:cs="Times New Roman"/>
      <w:kern w:val="2"/>
      <w:sz w:val="21"/>
      <w:szCs w:val="24"/>
      <w:lang w:val="en-US" w:eastAsia="zh-CN" w:bidi="ar-SA"/>
    </w:rPr>
  </w:style>
  <w:style w:type="paragraph" w:customStyle="1" w:styleId="25">
    <w:name w:val="修订4"/>
    <w:hidden/>
    <w:semiHidden/>
    <w:qFormat/>
    <w:uiPriority w:val="99"/>
    <w:rPr>
      <w:rFonts w:ascii="Calibri" w:hAnsi="Calibri" w:eastAsia="宋体" w:cs="Times New Roman"/>
      <w:kern w:val="2"/>
      <w:sz w:val="21"/>
      <w:szCs w:val="24"/>
      <w:lang w:val="en-US" w:eastAsia="zh-CN" w:bidi="ar-SA"/>
    </w:rPr>
  </w:style>
  <w:style w:type="paragraph" w:customStyle="1" w:styleId="26">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0C84EB-9142-4C80-ADB9-B97B5AAA1D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15111</Words>
  <Characters>16385</Characters>
  <Lines>128</Lines>
  <Paragraphs>36</Paragraphs>
  <TotalTime>91</TotalTime>
  <ScaleCrop>false</ScaleCrop>
  <LinksUpToDate>false</LinksUpToDate>
  <CharactersWithSpaces>16545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2021-07-07T04:16:00Z</dcterms:created>
  <dc:creator>Administrator</dc:creator>
  <cp:lastModifiedBy>郭胜霖</cp:lastModifiedBy>
  <cp:lastPrinted>2021-03-09T09:12:00Z</cp:lastPrinted>
  <dcterms:modified xsi:type="dcterms:W3CDTF">2022-05-23T06:21:51Z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9CA8E87D275044B9B71F7FA76C598512</vt:lpwstr>
  </property>
</Properties>
</file>